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512"/>
        <w:gridCol w:w="945"/>
        <w:gridCol w:w="945"/>
        <w:gridCol w:w="735"/>
        <w:gridCol w:w="696"/>
        <w:gridCol w:w="774"/>
        <w:gridCol w:w="446"/>
        <w:gridCol w:w="945"/>
        <w:gridCol w:w="945"/>
        <w:gridCol w:w="945"/>
        <w:gridCol w:w="932"/>
        <w:gridCol w:w="630"/>
        <w:gridCol w:w="1194"/>
      </w:tblGrid>
      <w:tr>
        <w:trPr>
          <w:trHeight w:val="60" w:hRule="atLeast"/>
        </w:trPr>
        <w:tc>
          <w:tcPr>
            <w:tcW w:w="10644" w:type="dxa"/>
            <w:gridSpan w:val="13"/>
            <w:shd w:val="clear" w:color="FFFFFF" w:fill="auto"/>
            <w:textDirection w:val="lrTb"/>
            <w:vAlign w:val="bottom"/>
          </w:tcPr>
          <w:p>
            <w:pPr>
              <w:jc w:val="center"/>
              <w:rPr>
                <w:rFonts w:ascii="Times New Roman" w:hAnsi="Times New Roman"/>
                <w:b/>
                <w:sz w:val="16"/>
                <w:szCs w:val="16"/>
              </w:rPr>
            </w:pPr>
            <w:r>
              <w:rPr>
                <w:rFonts w:ascii="Times New Roman" w:hAnsi="Times New Roman"/>
                <w:b/>
                <w:sz w:val="16"/>
                <w:szCs w:val="16"/>
              </w:rPr>
              <w:t>ДОГОВОР №  0У-134070</w:t>
            </w:r>
          </w:p>
        </w:tc>
      </w:tr>
      <w:tr>
        <w:trPr>
          <w:trHeight w:val="60" w:hRule="atLeast"/>
        </w:trPr>
        <w:tc>
          <w:tcPr>
            <w:tcW w:w="10644" w:type="dxa"/>
            <w:gridSpan w:val="13"/>
            <w:shd w:val="clear" w:color="FFFFFF" w:fill="auto"/>
            <w:textDirection w:val="lrTb"/>
            <w:vAlign w:val="bottom"/>
          </w:tcPr>
          <w:p>
            <w:pPr>
              <w:jc w:val="center"/>
              <w:rPr>
                <w:rFonts w:ascii="Times New Roman" w:hAnsi="Times New Roman"/>
                <w:b/>
                <w:sz w:val="16"/>
                <w:szCs w:val="16"/>
              </w:rPr>
            </w:pPr>
            <w:r>
              <w:rPr>
                <w:rFonts w:ascii="Times New Roman" w:hAnsi="Times New Roman"/>
                <w:b/>
                <w:sz w:val="16"/>
                <w:szCs w:val="16"/>
              </w:rPr>
              <w:t>об оказании платных образовательных услуг</w:t>
            </w:r>
          </w:p>
        </w:tc>
      </w:tr>
      <w:tr>
        <w:trPr>
          <w:trHeight w:val="60" w:hRule="atLeast"/>
        </w:trPr>
        <w:tc>
          <w:tcPr>
            <w:tcW w:w="2402" w:type="dxa"/>
            <w:gridSpan w:val="3"/>
            <w:shd w:val="clear" w:color="FFFFFF" w:fill="auto"/>
            <w:textDirection w:val="lrTb"/>
            <w:vAlign w:val="bottom"/>
          </w:tcPr>
          <w:p>
            <w:pPr>
              <w:jc w:val="left"/>
              <w:rPr>
                <w:rFonts w:ascii="Times New Roman" w:hAnsi="Times New Roman"/>
                <w:sz w:val="16"/>
                <w:szCs w:val="16"/>
              </w:rPr>
            </w:pPr>
            <w:r>
              <w:rPr>
                <w:rFonts w:ascii="Times New Roman" w:hAnsi="Times New Roman"/>
                <w:sz w:val="16"/>
                <w:szCs w:val="16"/>
              </w:rPr>
              <w:t>г. Челябинск</w:t>
            </w:r>
          </w:p>
        </w:tc>
        <w:tc>
          <w:tcPr>
            <w:tcW w:w="735" w:type="dxa"/>
            <w:shd w:val="clear" w:color="FFFFFF" w:fill="auto"/>
            <w:textDirection w:val="lrTb"/>
            <w:vAlign w:val="bottom"/>
          </w:tcPr>
          <w:p>
            <w:pPr>
              <w:rPr>
                <w:rFonts w:ascii="Times New Roman" w:hAnsi="Times New Roman"/>
                <w:sz w:val="16"/>
                <w:szCs w:val="16"/>
              </w:rPr>
            </w:pPr>
          </w:p>
        </w:tc>
        <w:tc>
          <w:tcPr>
            <w:tcW w:w="696" w:type="dxa"/>
            <w:shd w:val="clear" w:color="FFFFFF" w:fill="auto"/>
            <w:textDirection w:val="lrTb"/>
            <w:vAlign w:val="bottom"/>
          </w:tcPr>
          <w:p>
            <w:pPr>
              <w:rPr>
                <w:rFonts w:ascii="Times New Roman" w:hAnsi="Times New Roman"/>
                <w:sz w:val="16"/>
                <w:szCs w:val="16"/>
              </w:rPr>
            </w:pPr>
          </w:p>
        </w:tc>
        <w:tc>
          <w:tcPr>
            <w:tcW w:w="774" w:type="dxa"/>
            <w:shd w:val="clear" w:color="FFFFFF" w:fill="auto"/>
            <w:textDirection w:val="lrTb"/>
            <w:vAlign w:val="bottom"/>
          </w:tcPr>
          <w:p>
            <w:pPr>
              <w:rPr>
                <w:rFonts w:ascii="Times New Roman" w:hAnsi="Times New Roman"/>
                <w:sz w:val="16"/>
                <w:szCs w:val="16"/>
              </w:rPr>
            </w:pPr>
          </w:p>
        </w:tc>
        <w:tc>
          <w:tcPr>
            <w:tcW w:w="446"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3701" w:type="dxa"/>
            <w:gridSpan w:val="4"/>
            <w:shd w:val="clear" w:color="FFFFFF" w:fill="auto"/>
            <w:textDirection w:val="lrTb"/>
            <w:vAlign w:val="bottom"/>
          </w:tcPr>
          <w:p>
            <w:pPr>
              <w:jc w:val="right"/>
              <w:rPr>
                <w:rFonts w:ascii="Times New Roman" w:hAnsi="Times New Roman"/>
                <w:sz w:val="16"/>
                <w:szCs w:val="16"/>
              </w:rPr>
            </w:pPr>
            <w:r>
              <w:rPr>
                <w:rFonts w:ascii="Times New Roman" w:hAnsi="Times New Roman"/>
                <w:sz w:val="16"/>
                <w:szCs w:val="16"/>
              </w:rPr>
              <w:t>25 апреля 2022 г.</w:t>
            </w:r>
          </w:p>
        </w:tc>
      </w:tr>
      <w:tr>
        <w:trPr>
          <w:trHeight w:val="60" w:hRule="atLeast"/>
        </w:trPr>
        <w:tc>
          <w:tcPr>
            <w:tcW w:w="512"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735" w:type="dxa"/>
            <w:shd w:val="clear" w:color="FFFFFF" w:fill="auto"/>
            <w:textDirection w:val="lrTb"/>
            <w:vAlign w:val="bottom"/>
          </w:tcPr>
          <w:p>
            <w:pPr>
              <w:rPr>
                <w:rFonts w:ascii="Times New Roman" w:hAnsi="Times New Roman"/>
                <w:sz w:val="16"/>
                <w:szCs w:val="16"/>
              </w:rPr>
            </w:pPr>
          </w:p>
        </w:tc>
        <w:tc>
          <w:tcPr>
            <w:tcW w:w="696" w:type="dxa"/>
            <w:shd w:val="clear" w:color="FFFFFF" w:fill="auto"/>
            <w:textDirection w:val="lrTb"/>
            <w:vAlign w:val="bottom"/>
          </w:tcPr>
          <w:p>
            <w:pPr>
              <w:rPr>
                <w:rFonts w:ascii="Times New Roman" w:hAnsi="Times New Roman"/>
                <w:sz w:val="16"/>
                <w:szCs w:val="16"/>
              </w:rPr>
            </w:pPr>
          </w:p>
        </w:tc>
        <w:tc>
          <w:tcPr>
            <w:tcW w:w="774" w:type="dxa"/>
            <w:shd w:val="clear" w:color="FFFFFF" w:fill="auto"/>
            <w:textDirection w:val="lrTb"/>
            <w:vAlign w:val="bottom"/>
          </w:tcPr>
          <w:p>
            <w:pPr>
              <w:rPr>
                <w:rFonts w:ascii="Times New Roman" w:hAnsi="Times New Roman"/>
                <w:sz w:val="16"/>
                <w:szCs w:val="16"/>
              </w:rPr>
            </w:pPr>
          </w:p>
        </w:tc>
        <w:tc>
          <w:tcPr>
            <w:tcW w:w="446"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32" w:type="dxa"/>
            <w:shd w:val="clear" w:color="FFFFFF" w:fill="auto"/>
            <w:textDirection w:val="lrTb"/>
            <w:vAlign w:val="bottom"/>
          </w:tcPr>
          <w:p>
            <w:pPr>
              <w:rPr>
                <w:rFonts w:ascii="Times New Roman" w:hAnsi="Times New Roman"/>
                <w:sz w:val="16"/>
                <w:szCs w:val="16"/>
              </w:rPr>
            </w:pPr>
          </w:p>
        </w:tc>
        <w:tc>
          <w:tcPr>
            <w:tcW w:w="630" w:type="dxa"/>
            <w:shd w:val="clear" w:color="FFFFFF" w:fill="auto"/>
            <w:textDirection w:val="lrTb"/>
            <w:vAlign w:val="bottom"/>
          </w:tcPr>
          <w:p>
            <w:pPr>
              <w:rPr>
                <w:rFonts w:ascii="Times New Roman" w:hAnsi="Times New Roman"/>
                <w:sz w:val="16"/>
                <w:szCs w:val="16"/>
              </w:rPr>
            </w:pPr>
          </w:p>
        </w:tc>
        <w:tc>
          <w:tcPr>
            <w:tcW w:w="1194" w:type="dxa"/>
            <w:shd w:val="clear" w:color="FFFFFF" w:fill="auto"/>
            <w:textDirection w:val="lrTb"/>
            <w:vAlign w:val="bottom"/>
          </w:tcPr>
          <w:p>
            <w:pPr>
              <w:rPr>
                <w:rFonts w:ascii="Times New Roman" w:hAnsi="Times New Roman"/>
                <w:sz w:val="16"/>
                <w:szCs w:val="16"/>
              </w:rPr>
            </w:pP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Автономная некоммерческая организация дополнительного профессионального образования  "Учебный центр Перспектива" (АНО ДПО  «Учебный центр Перспектива»)  в лице Директора Козака Ильи Львовича, действующего на основании Устава и Лицензии на образовательную деятельность регистрационный номер 12626 от 06 мая 2016 г., выданной Министерством образования и науки по Челябинской области, именуемая в дальнейшем «ИСПОЛНИТЕЛЬ», с одной стороны, и  Муниципальное автономное дошкольное образовательное учреждение"Детский сад №449 "Олимпиец" г. Челябинска" в лице Заведующего Шумахера Елены Васильевны, действующего на основании Устава, именуемое в дальнейшем «ЗАКАЗЧИК», действующий в интересах Обучающихся (согласно Приложению №1) с другой стороны, вместе именуемые «Стороны», заключили настоящий Договор о нижеследующем:</w:t>
            </w:r>
          </w:p>
        </w:tc>
      </w:tr>
      <w:tr>
        <w:trPr>
          <w:trHeight w:val="60" w:hRule="atLeast"/>
        </w:trPr>
        <w:tc>
          <w:tcPr>
            <w:tcW w:w="512"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735" w:type="dxa"/>
            <w:shd w:val="clear" w:color="FFFFFF" w:fill="auto"/>
            <w:textDirection w:val="lrTb"/>
            <w:vAlign w:val="bottom"/>
          </w:tcPr>
          <w:p>
            <w:pPr>
              <w:rPr>
                <w:rFonts w:ascii="Times New Roman" w:hAnsi="Times New Roman"/>
                <w:sz w:val="16"/>
                <w:szCs w:val="16"/>
              </w:rPr>
            </w:pPr>
          </w:p>
        </w:tc>
        <w:tc>
          <w:tcPr>
            <w:tcW w:w="696" w:type="dxa"/>
            <w:shd w:val="clear" w:color="FFFFFF" w:fill="auto"/>
            <w:textDirection w:val="lrTb"/>
            <w:vAlign w:val="bottom"/>
          </w:tcPr>
          <w:p>
            <w:pPr>
              <w:rPr>
                <w:rFonts w:ascii="Times New Roman" w:hAnsi="Times New Roman"/>
                <w:sz w:val="16"/>
                <w:szCs w:val="16"/>
              </w:rPr>
            </w:pPr>
          </w:p>
        </w:tc>
        <w:tc>
          <w:tcPr>
            <w:tcW w:w="774" w:type="dxa"/>
            <w:shd w:val="clear" w:color="FFFFFF" w:fill="auto"/>
            <w:textDirection w:val="lrTb"/>
            <w:vAlign w:val="bottom"/>
          </w:tcPr>
          <w:p>
            <w:pPr>
              <w:rPr>
                <w:rFonts w:ascii="Times New Roman" w:hAnsi="Times New Roman"/>
                <w:sz w:val="16"/>
                <w:szCs w:val="16"/>
              </w:rPr>
            </w:pPr>
          </w:p>
        </w:tc>
        <w:tc>
          <w:tcPr>
            <w:tcW w:w="446"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32" w:type="dxa"/>
            <w:shd w:val="clear" w:color="FFFFFF" w:fill="auto"/>
            <w:textDirection w:val="lrTb"/>
            <w:vAlign w:val="bottom"/>
          </w:tcPr>
          <w:p>
            <w:pPr>
              <w:rPr>
                <w:rFonts w:ascii="Times New Roman" w:hAnsi="Times New Roman"/>
                <w:sz w:val="16"/>
                <w:szCs w:val="16"/>
              </w:rPr>
            </w:pPr>
          </w:p>
        </w:tc>
        <w:tc>
          <w:tcPr>
            <w:tcW w:w="630" w:type="dxa"/>
            <w:shd w:val="clear" w:color="FFFFFF" w:fill="auto"/>
            <w:textDirection w:val="lrTb"/>
            <w:vAlign w:val="bottom"/>
          </w:tcPr>
          <w:p>
            <w:pPr>
              <w:rPr>
                <w:rFonts w:ascii="Times New Roman" w:hAnsi="Times New Roman"/>
                <w:sz w:val="16"/>
                <w:szCs w:val="16"/>
              </w:rPr>
            </w:pPr>
          </w:p>
        </w:tc>
        <w:tc>
          <w:tcPr>
            <w:tcW w:w="1194" w:type="dxa"/>
            <w:shd w:val="clear" w:color="FFFFFF" w:fill="auto"/>
            <w:textDirection w:val="lrTb"/>
            <w:vAlign w:val="bottom"/>
          </w:tcPr>
          <w:p>
            <w:pPr>
              <w:rPr>
                <w:rFonts w:ascii="Times New Roman" w:hAnsi="Times New Roman"/>
                <w:sz w:val="16"/>
                <w:szCs w:val="16"/>
              </w:rPr>
            </w:pPr>
          </w:p>
        </w:tc>
      </w:tr>
      <w:tr>
        <w:trPr>
          <w:trHeight w:val="60" w:hRule="atLeast"/>
        </w:trPr>
        <w:tc>
          <w:tcPr>
            <w:tcW w:w="10644" w:type="dxa"/>
            <w:gridSpan w:val="13"/>
            <w:shd w:val="clear" w:color="FFFFFF" w:fill="auto"/>
            <w:textDirection w:val="lrTb"/>
            <w:vAlign w:val="bottom"/>
          </w:tcPr>
          <w:p>
            <w:pPr>
              <w:wordWrap w:val="1"/>
              <w:jc w:val="center"/>
              <w:rPr>
                <w:rFonts w:ascii="Times New Roman" w:hAnsi="Times New Roman"/>
                <w:b/>
                <w:sz w:val="16"/>
                <w:szCs w:val="16"/>
              </w:rPr>
            </w:pPr>
            <w:r>
              <w:rPr>
                <w:rFonts w:ascii="Times New Roman" w:hAnsi="Times New Roman"/>
                <w:b/>
                <w:sz w:val="16"/>
                <w:szCs w:val="16"/>
              </w:rPr>
              <w:t>1.  Предмет Договора</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1.1. Исполнитель обязуется оказывать платные образовательные услуги (Услуги) по обучению представителей «ЗАКАЗЧИКА» (Обучающихся) по образовательным программам Исполнителя.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1.2. Стоимость обучения одного Обучающегося, сроки оплаты и выполнения услуг, порядок оплаты услуг указываются в Заявке (Приложение №1), являющейся неотъемлемой частью настоящего Договора.</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1.3. В Заявке в порядке, установленном Федеральным законом «Об образовании в Российской Федерации» указываются: уровень, наименование программы обучения, объем, вид образовательной программы, срок обучения, форма обучения.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1.4. Дополнительно в заявке указываются: список Обучающихся (фамилия, имя отчество обучающихся), адрес проживания Обучающихся; номер телефона законного представителя со стороны Заказчика; адрес Заказчика, сведения об уровне образования Обучающихся (начальное общее / основное общее / среднее общее образование; среднее профессиональное образование; высшее образование). Для курсов обучения «Охрана труда» и «Пожарно-технический минимум» дополнительно указывается причина проверки знаний: первичная, очередная или внеочередная.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p>
        </w:tc>
      </w:tr>
      <w:tr>
        <w:trPr>
          <w:trHeight w:val="60" w:hRule="atLeast"/>
        </w:trPr>
        <w:tc>
          <w:tcPr>
            <w:tcW w:w="10644" w:type="dxa"/>
            <w:gridSpan w:val="13"/>
            <w:shd w:val="clear" w:color="FFFFFF" w:fill="auto"/>
            <w:textDirection w:val="lrTb"/>
            <w:vAlign w:val="bottom"/>
          </w:tcPr>
          <w:p>
            <w:pPr>
              <w:wordWrap w:val="1"/>
              <w:jc w:val="center"/>
              <w:rPr>
                <w:rFonts w:ascii="Times New Roman" w:hAnsi="Times New Roman"/>
                <w:b/>
                <w:sz w:val="16"/>
                <w:szCs w:val="16"/>
              </w:rPr>
            </w:pPr>
            <w:r>
              <w:rPr>
                <w:rFonts w:ascii="Times New Roman" w:hAnsi="Times New Roman"/>
                <w:b/>
                <w:sz w:val="16"/>
                <w:szCs w:val="16"/>
              </w:rPr>
              <w:t>2.Права и обязанности сторон</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2.1. Исполнитель обязан:</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2.1.1. Организовать и обеспечить надлежащее исполнение услуг, предусмотренных разделом 1 настоящего Договора. Оказать образовательные услуги в соответствии с учебным планом, календарным учебным графиком и расписанием занятий, разработанным Исполнителем.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2.1.2. В случае изменения согласованных в Заявке сроков проведения занятий Исполнитель не позднее чем за два рабочих дня до начала процесса обучения обязан уведомить Заказчика о причинах переноса и сообщить новые даты оказания услуг.</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2.1.3. Предоставить для проведения очных занятий помещения, соответствующие санитарным и гигиеническим требованиям, а также оснащение, необходимое для осуществления образовательного процесса.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2.1.4.Сохранить место за Обучающимся в случае его болезни или производственной необходимости, при наличии медицинской справки или справки с места работы.</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2.1.5. В случае необходимости подготовить пакет документов для аттестации Обучающихся в контролирующих органах.</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2.1.6. Уведомлять Заказчика о сроках аттестации (сдачи экзамена) в контролирующих органах.</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2.1.7. В случае необходимости сопроводить Обучающихся на аттестацию (экзамен) в контролирующий орган.</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2.1.8. Периодически ставить в известность Заказчика об этапах обучения, результатах, достигнутых Обучающимися за контрольный период, результатах периодических проверок и самостоятельных работ, результатах промежуточной и итоговой аттестации, проводимых с целью контроля уровня получаемых знаний.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2.1.9. По окончании обучения и при условии сдачи итоговой аттестации выдать Обучающимся лично или через доверенное лицо (по простой письменной доверенности) документы установленного образца (Свидетельство о профессии рабочего / должности служащего – при освоении программ профессионального обучения; Диплом о профессиональной переподготовке / удостоверение о повышении квалификации – при освоении дополнительных профессиональных программ; При освоении дополнительных общеобразовательных общеразвивающих программ документ не выдается). Документы оформляются Исполнителем в течение 5 рабочих дней с момента завершения срока обучения и сдачи итогового зачета/экзамена. Выдача документов производится в  ближайший  четверг от даты их готовности с 14-00 до 17-00 ч. при соблюдении Заказчиком п.2.3.1. и п.2.3.2. настоящего Договора. В случае нарушения Заказчиком сроков предоставления документов и (или) условий оплаты, срок выдачи Исполнителем документов автоматически сдвигается на 5 рабочих дней от даты исполнения обязательств Заказчиком.</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2.2. Исполнитель имеет право:</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2.2.1. За неисполнение или нарушение Устава, Правил внутреннего распорядка обучающихся и иных локальных нормативных актов, регулирующих организацию и осуществление образовательной деятельности, применить к Обучающимся меры дисциплинарного взыскания – замечание, выговор, отчисление.</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2.2.2. За повторное неисполнение или нарушение Устава, Правил внутреннего распорядка обучающихся и иных локальных нормативных актов, регулирующих организацию и осуществление образовательной деятельности,  применить к Обучающимся меру дисциплинарного взыскания – отчисление.</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2.2.3.  Требовать расторжения настоящего Договора при получении от Заказчика уведомления о приостановке оказания услуг по причинам, не зависящим от Исполнителя, на срок, превышающий три и более месяцев.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2.3. Заказчик обязан:</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2.3.1. Своевременно, не позднее чем за 3 (три) рабочих дня до начала обучения, предоставить Исполнителю пакет документов в соответствии с заявленным(-и)  курсом(-ами).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2.3.2 Своевременно внести плату за услуги, в порядке, размере и сроках, указанных в Заявке (Приложение №1).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2.3.3. Заполнить Заявку  на обучение, указав все сведения, в соответствии с пунктом 1.3. настоящего Договора.</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2.3.4. Не позднее чем за 3 (три) рабочих дня до начала обучения письменно оповестить Исполнителя об изменении состава и количества Обучающихся, в противном случае заявка считается выполненной, стоимость обучения в меньшую сторону не корректируется, денежные средства за обучение не возвращаются.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2.3.5. Не позднее чем за 3 (три) рабочих дня до начала обучения письменно известить Исполнителя об уважительных причинах отсутствия Обучающихся на занятиях.</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2.3.6. Не позднее чем за 3 (три) рабочих дня до окончания обучения письменно оповестить Исполнителя об изменяющихся персональных данных Обучающихся.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2.3.7. Обеспечить посещение Обучающимися занятий и изучение материала, предусмотренного самостоятельной подготовкой, и прохождение промежуточной и итоговой аттестации, в том числе через систему дистанционного обучения.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2.3.8. Принять от Исполнителя оказанные Услуги по акту приемки-сдачи и в течение 5 (пяти) рабочих дней со дня получения, подписать его и передать Исполнителю.</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2.3.9. Возместить ущерб, причиненный Обучающимся имуществу Исполнителя, в соответствии с законодательством Российской Федерации.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2.3.10. Обеспечить получение согласия от каждого сотрудника Заказчика на обработку персональных данных.</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2.4. Заказчик имеет право:</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2.4.1. Отказаться от Услуг по настоящему Договору, уведомив Исполнителя не позднее чем за 10 (десять) рабочих дней до даты начала обучения.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2.4.2. Ознакомиться с Уставом, с записью в реестре лицензий и регистрационным номером лицензии  на осуществление образовательной деятельности, с образовательной программой и другими документами, регламентирующими деятельность АНО ДПО  «Учебный центр Перспектива».</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2.5. Обучающиеся обязаны:</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2.5.1. Выполнять требования Правил внутреннего распорядка обучающихся.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2.5.2. При проведении практических занятий, предусмотренных образовательной программой, строго выполнять требования пропускного и внутриобъектового режима, правила техники безопасности и охраны труда.</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2.5.3. Проявлять уважение к сотрудникам АНО ДПО  «Учебный центр Перспектива»</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2.6. Обучающиеся имеют право:</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2.6.1. Пользоваться правами, установленными статьей 34 Федерального закона от 29.12.2012 г. № 273-ФЗ «Об образовании в Российской Федерации»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2.6.2. Ознакомиться с Уставом, с записью в реестре лицензий и регистрационным номером лицензии  на осуществление образовательной деятельности, с образовательной программой и другими документами, регламентирующими деятельность АНО ДПО  «Учебный центр Перспектива».</w:t>
            </w:r>
          </w:p>
        </w:tc>
      </w:tr>
      <w:tr>
        <w:trPr>
          <w:trHeight w:val="60" w:hRule="atLeast"/>
        </w:trPr>
        <w:tc>
          <w:tcPr>
            <w:tcW w:w="10644" w:type="dxa"/>
            <w:gridSpan w:val="13"/>
            <w:shd w:val="clear" w:color="FFFFFF" w:fill="auto"/>
            <w:textDirection w:val="lrTb"/>
            <w:vAlign w:val="bottom"/>
          </w:tcPr>
          <w:p>
            <w:pPr>
              <w:wordWrap w:val="1"/>
              <w:jc w:val="center"/>
              <w:rPr>
                <w:rFonts w:ascii="Times New Roman" w:hAnsi="Times New Roman"/>
                <w:b/>
                <w:sz w:val="16"/>
                <w:szCs w:val="16"/>
              </w:rPr>
            </w:pPr>
            <w:r>
              <w:rPr>
                <w:rFonts w:ascii="Times New Roman" w:hAnsi="Times New Roman"/>
                <w:b/>
                <w:sz w:val="16"/>
                <w:szCs w:val="16"/>
              </w:rPr>
              <w:t>3. Изменение видов и стоимости услуг, порядок оплаты, сдачи и приемки оказанных услуг</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3.1.Услуги Исполнителя, оказываемые в соответствии с настоящим Договором, оплачиваются Заказчиком в размере, порядке и сроках, согласованных в Заявке.</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3.2. Исполнитель обязуется передать Заказчику подписанный со своей стороны акт сдачи-приемки оказанных услуг в течение 5 (пяти) рабочих дней со дня его создания. Датой создания акта сдачи-приемки оказанных услуг является последний день обучения Обучающихся.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Акт сдачи-приемки оказанных услуг может быть предоставлен Исполнителем по факсимильной связи, электронной почте с последующим предоставлением оригинала в течение 10 (десяти) рабочих дней от даты его составления (со дня его создания). Датой передачи акта сдачи-приемки оказанных услуг является дата, зафиксированная в журнале учета актов сдачи-приемки оказанных услуг АНО ДПО  «Учебный центр Перспектива»  либо на штемпеле почтовой пересылки.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Стороны ежеквартально производят сверку взаимных расчетов по настоящему Договору. При этом Исполнитель в  пятидневный срок после окончания квартала направляет Заказчику для подписания акт сверки взаимных расчетов за прошедший квартал.</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3.3. Если в течение 5 (пяти) рабочих дней  со дня окончания обучения и подписания Исполнителем Акта сдачи-приемки оказанных услуг Заказчик не предоставляет в письменном виде мотивированный отказ, услуги считаются выполненными в полном объеме и принятыми по Акту сдачи-приемки оказанных услуг.</w:t>
            </w:r>
          </w:p>
        </w:tc>
      </w:tr>
      <w:tr>
        <w:trPr>
          <w:trHeight w:val="60" w:hRule="atLeast"/>
        </w:trPr>
        <w:tc>
          <w:tcPr>
            <w:tcW w:w="10644" w:type="dxa"/>
            <w:gridSpan w:val="13"/>
            <w:shd w:val="clear" w:color="FFFFFF" w:fill="auto"/>
            <w:textDirection w:val="lrTb"/>
            <w:vAlign w:val="bottom"/>
          </w:tcPr>
          <w:p>
            <w:pPr>
              <w:wordWrap w:val="1"/>
              <w:jc w:val="center"/>
              <w:rPr>
                <w:rFonts w:ascii="Times New Roman" w:hAnsi="Times New Roman"/>
                <w:b/>
                <w:sz w:val="16"/>
                <w:szCs w:val="16"/>
              </w:rPr>
            </w:pPr>
            <w:r>
              <w:rPr>
                <w:rFonts w:ascii="Times New Roman" w:hAnsi="Times New Roman"/>
                <w:b/>
                <w:sz w:val="16"/>
                <w:szCs w:val="16"/>
              </w:rPr>
              <w:t>4. Ответственность сторон.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4.1. Заказчик несет материальную ответственность за повреждение или уничтожение имущества Исполнителя, а также за вред, причиненный имуществу третьих лиц в результате происшествия, произошедшего по умыслу или грубой неосторожности Обучающихся Заказчика.</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4.2. При нарушении сроков оказания услуг Исполнитель уплачивает Заказчику 0,01%  стоимости Заявки за каждый день просрочки.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4.3. При нарушении сроков оплаты, предусмотренных настоящим Договором, Заказчик оплачивает Исполнителю 0,01% от суммы Заявки, за каждый день просрочки.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4.4. Стороны несут ответственность за разглашение информации, полученной в ходе исполнения настоящего Договора третьим лицам в соответствии с законодательством Российской Федерации о разглашении конфиденциальной информации.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4.5. Стороны несут ответственность за неисполнение либо за ненадлежащее исполнение обязательств по настоящему Договору в соответствии с действующим гражданским законодательством Российской Федерации и условиями настоящего Договора. </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4.6.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4.7. Стороны освобождаются от ответственности за неисполнение обязательств по настоящему Договору в случае возникновения обстоятельств непреодолимой силы (форс-мажор), в том числе изменения действующего законодательства, принятия законодательных актов, мешающих выполнению обязательств, так как данное обстоятельство будет являться чрезвычайным, непредотвратимым, и не зависит от воли ни одной из Сторон. При наступлении таких обстоятельств Сторона, не имеющая возможность исполнить условия настоящего Договора, должна в десятидневный срок предупредить другую Сторону, и условия настоящего Договора могут быть изменены по соглашению Сторон.</w:t>
            </w:r>
          </w:p>
        </w:tc>
      </w:tr>
      <w:tr>
        <w:trPr>
          <w:trHeight w:val="60" w:hRule="atLeast"/>
        </w:trPr>
        <w:tc>
          <w:tcPr>
            <w:tcW w:w="10644" w:type="dxa"/>
            <w:gridSpan w:val="13"/>
            <w:shd w:val="clear" w:color="FFFFFF" w:fill="auto"/>
            <w:textDirection w:val="lrTb"/>
            <w:vAlign w:val="bottom"/>
          </w:tcPr>
          <w:p>
            <w:pPr>
              <w:wordWrap w:val="1"/>
              <w:jc w:val="center"/>
              <w:rPr>
                <w:rFonts w:ascii="Times New Roman" w:hAnsi="Times New Roman"/>
                <w:b/>
                <w:sz w:val="16"/>
                <w:szCs w:val="16"/>
              </w:rPr>
            </w:pPr>
            <w:r>
              <w:rPr>
                <w:rFonts w:ascii="Times New Roman" w:hAnsi="Times New Roman"/>
                <w:b/>
                <w:sz w:val="16"/>
                <w:szCs w:val="16"/>
              </w:rPr>
              <w:t>5.  Прочие условия</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5.1. Настоящий Договор составлен в двух экземплярах, имеющих равную юридическую силу, по одному для каждой из сторон.</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5.2. Сторона, решившая расторгнуть настоящий Договор, направляет письменное уведомление другой стороне за 10 (десять) рабочих дней до даты предполагаемого расторжения. При этом расторжение Договора не прекращает обязательств Заказчика по оплате фактически оказанных услуг.</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5.3. Договор вступает в силу с момента его подписания Сторонами и действует до 31 декабря 2022 г. Если ни одна из Сторон за 30 (Тридцать) дней до истечения срока действия Договора не уведомит письменно другую Сторону о намерении расторгнуть Договор, Договор считается пролонгированным на следующий календарный год на тех же условиях. Договор может быть пролонгирован неограниченное количество раз.</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5.4. Во всем остальном, что не предусмотрено настоящим Договором, стороны руководствуются действующим законодательством Российской Федерации.</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5.5. Возможно подписание настоящего Договора, а также иных документов к нему посредством факсимильной связи, электронной почты. Документы, отправленные факсимильной связью, электронной почтой, имеют юридическую силу до момента получения оригиналов. Оригинал документа должен быть направлен в течение 5 (Пяти) дней с момента его подписания. В случае несоблюдения одной из сторон срока предоставления (направления) оригинала документа, другая сторона вправе приостановить исполнение своих обязательств по Договору до получения оригинала документа, подлежащего предоставлению.</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5.6. Все изменения и дополнения к настоящему Договору действительны только в том случае, если они совершены в письменной форме, подписаны уполномоченными на то представителями обеих сторон.</w:t>
            </w:r>
          </w:p>
        </w:tc>
      </w:tr>
      <w:tr>
        <w:trPr>
          <w:trHeight w:val="60" w:hRule="atLeast"/>
        </w:trPr>
        <w:tc>
          <w:tcPr>
            <w:tcW w:w="10644" w:type="dxa"/>
            <w:gridSpan w:val="13"/>
            <w:shd w:val="clear" w:color="FFFFFF" w:fill="auto"/>
            <w:textDirection w:val="lrTb"/>
            <w:vAlign w:val="bottom"/>
          </w:tcPr>
          <w:p>
            <w:pPr>
              <w:wordWrap w:val="1"/>
              <w:jc w:val="both"/>
              <w:rPr>
                <w:rFonts w:ascii="Times New Roman" w:hAnsi="Times New Roman"/>
                <w:sz w:val="16"/>
                <w:szCs w:val="16"/>
              </w:rPr>
            </w:pPr>
          </w:p>
        </w:tc>
      </w:tr>
      <w:tr>
        <w:trPr>
          <w:trHeight w:val="60" w:hRule="atLeast"/>
        </w:trPr>
        <w:tc>
          <w:tcPr>
            <w:tcW w:w="10644" w:type="dxa"/>
            <w:gridSpan w:val="13"/>
            <w:shd w:val="clear" w:color="FFFFFF" w:fill="auto"/>
            <w:textDirection w:val="lrTb"/>
            <w:vAlign w:val="bottom"/>
          </w:tcPr>
          <w:p>
            <w:pPr>
              <w:wordWrap w:val="1"/>
              <w:jc w:val="center"/>
              <w:rPr>
                <w:rFonts w:ascii="Times New Roman" w:hAnsi="Times New Roman"/>
                <w:b/>
                <w:sz w:val="16"/>
                <w:szCs w:val="16"/>
              </w:rPr>
            </w:pPr>
            <w:r>
              <w:rPr>
                <w:rFonts w:ascii="Times New Roman" w:hAnsi="Times New Roman"/>
                <w:b/>
                <w:sz w:val="16"/>
                <w:szCs w:val="16"/>
              </w:rPr>
              <w:t>6. Адреса и реквизиты сторон:</w:t>
            </w:r>
          </w:p>
        </w:tc>
      </w:tr>
    </w:tbl>
    <w:tbl>
      <w:tblPr>
        <w:tblStyle w:val="TableStyle1"/>
        <w:tblW w:w="0" w:type="auto"/>
        <w:tblLayout w:type="autofit"/>
        <w:tblCellMar>
          <w:left w:w="108" w:type="dxa"/>
          <w:right w:w="108" w:type="dxa"/>
        </w:tblCellMar>
        <w:tblLook w:val="04A0"/>
      </w:tblPr>
      <w:tblGrid>
        <w:gridCol w:w="512"/>
        <w:gridCol w:w="945"/>
        <w:gridCol w:w="945"/>
        <w:gridCol w:w="735"/>
        <w:gridCol w:w="696"/>
        <w:gridCol w:w="774"/>
        <w:gridCol w:w="866"/>
        <w:gridCol w:w="945"/>
        <w:gridCol w:w="945"/>
        <w:gridCol w:w="945"/>
        <w:gridCol w:w="932"/>
        <w:gridCol w:w="630"/>
        <w:gridCol w:w="761"/>
      </w:tblGrid>
      <w:tr>
        <w:trPr>
          <w:trHeight w:val="60" w:hRule="atLeast"/>
        </w:trPr>
        <w:tc>
          <w:tcPr>
            <w:tcW w:w="4607" w:type="dxa"/>
            <w:gridSpan w:val="6"/>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Исполнитель:</w:t>
            </w:r>
          </w:p>
        </w:tc>
        <w:tc>
          <w:tcPr>
            <w:tcW w:w="866" w:type="dxa"/>
            <w:shd w:val="clear" w:color="FFFFFF" w:fill="auto"/>
            <w:textDirection w:val="lrTb"/>
            <w:vAlign w:val="bottom"/>
          </w:tcPr>
          <w:p>
            <w:pPr>
              <w:wordWrap w:val="1"/>
              <w:jc w:val="both"/>
              <w:rPr>
                <w:rFonts w:ascii="Times New Roman" w:hAnsi="Times New Roman"/>
                <w:sz w:val="16"/>
                <w:szCs w:val="16"/>
              </w:rPr>
            </w:pPr>
          </w:p>
        </w:tc>
        <w:tc>
          <w:tcPr>
            <w:tcW w:w="5158" w:type="dxa"/>
            <w:gridSpan w:val="6"/>
            <w:shd w:val="clear" w:color="FFFFFF" w:fill="auto"/>
            <w:textDirection w:val="lrTb"/>
            <w:vAlign w:val="bottom"/>
          </w:tcPr>
          <w:p>
            <w:pPr>
              <w:wordWrap w:val="1"/>
              <w:jc w:val="both"/>
              <w:rPr>
                <w:rFonts w:ascii="Times New Roman" w:hAnsi="Times New Roman"/>
                <w:b/>
                <w:sz w:val="16"/>
                <w:szCs w:val="16"/>
              </w:rPr>
            </w:pPr>
            <w:r>
              <w:rPr>
                <w:rFonts w:ascii="Times New Roman" w:hAnsi="Times New Roman"/>
                <w:b/>
                <w:sz w:val="16"/>
                <w:szCs w:val="16"/>
              </w:rPr>
              <w:t>Заказчик:</w:t>
            </w:r>
          </w:p>
        </w:tc>
      </w:tr>
      <w:tr>
        <w:trPr>
          <w:trHeight w:val="60" w:hRule="atLeast"/>
        </w:trPr>
        <w:tc>
          <w:tcPr>
            <w:tcW w:w="4607" w:type="dxa"/>
            <w:gridSpan w:val="6"/>
            <w:shd w:val="clear" w:color="FFFFFF" w:fill="auto"/>
            <w:textDirection w:val="lrTb"/>
            <w:vAlign w:val="top"/>
          </w:tcPr>
          <w:p>
            <w:pPr>
              <w:wordWrap w:val="1"/>
              <w:jc w:val="both"/>
              <w:rPr>
                <w:rFonts w:ascii="Times New Roman" w:hAnsi="Times New Roman"/>
                <w:b/>
                <w:sz w:val="16"/>
                <w:szCs w:val="16"/>
              </w:rPr>
            </w:pPr>
            <w:r>
              <w:rPr>
                <w:rFonts w:ascii="Times New Roman" w:hAnsi="Times New Roman"/>
                <w:b/>
                <w:sz w:val="16"/>
                <w:szCs w:val="16"/>
              </w:rPr>
              <w:t>АНО ДПО  «Учебный центр Перспектива»</w:t>
            </w:r>
          </w:p>
        </w:tc>
        <w:tc>
          <w:tcPr>
            <w:tcW w:w="866" w:type="dxa"/>
            <w:shd w:val="clear" w:color="FFFFFF" w:fill="auto"/>
            <w:textDirection w:val="lrTb"/>
            <w:vAlign w:val="top"/>
          </w:tcPr>
          <w:p>
            <w:pPr>
              <w:wordWrap w:val="1"/>
              <w:jc w:val="both"/>
              <w:rPr>
                <w:rFonts w:ascii="Times New Roman" w:hAnsi="Times New Roman"/>
                <w:sz w:val="16"/>
                <w:szCs w:val="16"/>
              </w:rPr>
            </w:pPr>
          </w:p>
        </w:tc>
        <w:tc>
          <w:tcPr>
            <w:tcW w:w="5158" w:type="dxa"/>
            <w:gridSpan w:val="6"/>
            <w:shd w:val="clear" w:color="FFFFFF" w:fill="auto"/>
            <w:textDirection w:val="lrTb"/>
            <w:vAlign w:val="top"/>
          </w:tcPr>
          <w:p>
            <w:pPr>
              <w:wordWrap w:val="1"/>
              <w:jc w:val="both"/>
              <w:rPr>
                <w:rFonts w:ascii="Times New Roman" w:hAnsi="Times New Roman"/>
                <w:b/>
                <w:sz w:val="16"/>
                <w:szCs w:val="16"/>
              </w:rPr>
            </w:pPr>
            <w:r>
              <w:rPr>
                <w:rFonts w:ascii="Times New Roman" w:hAnsi="Times New Roman"/>
                <w:b/>
                <w:sz w:val="16"/>
                <w:szCs w:val="16"/>
              </w:rPr>
              <w:t>Муниципальное автономное дошкольное образовательное учреждение"Детский сад №449 "Олимпиец" г. Челябинска"</w:t>
            </w:r>
          </w:p>
        </w:tc>
      </w:tr>
      <w:tr>
        <w:trPr>
          <w:trHeight w:val="60" w:hRule="atLeast"/>
        </w:trPr>
        <w:tc>
          <w:tcPr>
            <w:tcW w:w="4607"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Юр. адрес: 454084, Челябинская обл, Челябинск г, Победы пр-кт, дом № 160</w:t>
            </w:r>
          </w:p>
        </w:tc>
        <w:tc>
          <w:tcPr>
            <w:tcW w:w="866" w:type="dxa"/>
            <w:shd w:val="clear" w:color="FFFFFF" w:fill="auto"/>
            <w:textDirection w:val="lrTb"/>
            <w:vAlign w:val="top"/>
          </w:tcPr>
          <w:p>
            <w:pPr>
              <w:wordWrap w:val="1"/>
              <w:jc w:val="both"/>
              <w:rPr>
                <w:rFonts w:ascii="Times New Roman" w:hAnsi="Times New Roman"/>
                <w:sz w:val="16"/>
                <w:szCs w:val="16"/>
              </w:rPr>
            </w:pPr>
          </w:p>
        </w:tc>
        <w:tc>
          <w:tcPr>
            <w:tcW w:w="5158"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Юр. адрес: 454038 г. Челябинск, ул. Краснооктябрьская 18</w:t>
            </w:r>
          </w:p>
        </w:tc>
      </w:tr>
      <w:tr>
        <w:trPr>
          <w:trHeight w:val="60" w:hRule="atLeast"/>
        </w:trPr>
        <w:tc>
          <w:tcPr>
            <w:tcW w:w="4607"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ИНН 7448071712</w:t>
            </w:r>
          </w:p>
        </w:tc>
        <w:tc>
          <w:tcPr>
            <w:tcW w:w="866" w:type="dxa"/>
            <w:shd w:val="clear" w:color="FFFFFF" w:fill="auto"/>
            <w:textDirection w:val="lrTb"/>
            <w:vAlign w:val="top"/>
          </w:tcPr>
          <w:p>
            <w:pPr>
              <w:wordWrap w:val="1"/>
              <w:jc w:val="both"/>
              <w:rPr>
                <w:rFonts w:ascii="Times New Roman" w:hAnsi="Times New Roman"/>
                <w:sz w:val="16"/>
                <w:szCs w:val="16"/>
              </w:rPr>
            </w:pPr>
          </w:p>
        </w:tc>
        <w:tc>
          <w:tcPr>
            <w:tcW w:w="5158"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ИНН 7450027598</w:t>
            </w:r>
          </w:p>
        </w:tc>
      </w:tr>
      <w:tr>
        <w:trPr>
          <w:trHeight w:val="60" w:hRule="atLeast"/>
        </w:trPr>
        <w:tc>
          <w:tcPr>
            <w:tcW w:w="4607"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КПП 744701001</w:t>
            </w:r>
          </w:p>
        </w:tc>
        <w:tc>
          <w:tcPr>
            <w:tcW w:w="866" w:type="dxa"/>
            <w:shd w:val="clear" w:color="FFFFFF" w:fill="auto"/>
            <w:textDirection w:val="lrTb"/>
            <w:vAlign w:val="top"/>
          </w:tcPr>
          <w:p>
            <w:pPr>
              <w:wordWrap w:val="1"/>
              <w:jc w:val="both"/>
              <w:rPr>
                <w:rFonts w:ascii="Times New Roman" w:hAnsi="Times New Roman"/>
                <w:sz w:val="16"/>
                <w:szCs w:val="16"/>
              </w:rPr>
            </w:pPr>
          </w:p>
        </w:tc>
        <w:tc>
          <w:tcPr>
            <w:tcW w:w="5158"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КПП 746001001</w:t>
            </w:r>
          </w:p>
        </w:tc>
      </w:tr>
      <w:tr>
        <w:trPr>
          <w:trHeight w:val="60" w:hRule="atLeast"/>
        </w:trPr>
        <w:tc>
          <w:tcPr>
            <w:tcW w:w="4607"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счет 40703810438040000023 в банке ФИЛИАЛ "ЕКАТЕРИНБУРГСКИЙ" АО "АЛЬФА-БАНК", к/с 30101810100000000964, БИК 046577964</w:t>
            </w:r>
          </w:p>
        </w:tc>
        <w:tc>
          <w:tcPr>
            <w:tcW w:w="866" w:type="dxa"/>
            <w:shd w:val="clear" w:color="FFFFFF" w:fill="auto"/>
            <w:textDirection w:val="lrTb"/>
            <w:vAlign w:val="top"/>
          </w:tcPr>
          <w:p>
            <w:pPr>
              <w:wordWrap w:val="1"/>
              <w:jc w:val="both"/>
              <w:rPr>
                <w:rFonts w:ascii="Times New Roman" w:hAnsi="Times New Roman"/>
                <w:sz w:val="16"/>
                <w:szCs w:val="16"/>
              </w:rPr>
            </w:pPr>
          </w:p>
        </w:tc>
        <w:tc>
          <w:tcPr>
            <w:tcW w:w="5158" w:type="dxa"/>
            <w:gridSpan w:val="6"/>
            <w:shd w:val="clear" w:color="FFFFFF" w:fill="auto"/>
            <w:textDirection w:val="lrTb"/>
            <w:vAlign w:val="top"/>
          </w:tcPr>
          <w:p>
            <w:pPr>
              <w:wordWrap w:val="1"/>
              <w:jc w:val="both"/>
              <w:rPr>
                <w:rFonts w:ascii="Times New Roman" w:hAnsi="Times New Roman"/>
                <w:sz w:val="16"/>
                <w:szCs w:val="16"/>
              </w:rPr>
            </w:pPr>
            <w:r>
              <w:rPr>
                <w:rFonts w:ascii="Times New Roman" w:hAnsi="Times New Roman"/>
                <w:sz w:val="16"/>
                <w:szCs w:val="16"/>
              </w:rPr>
              <w:t>счет 40703810490024000030 в банке ПАО "Челябинвестбанк", к/с 30101810400000000779, БИК 047501779</w:t>
            </w:r>
          </w:p>
        </w:tc>
      </w:tr>
      <w:tr>
        <w:trPr>
          <w:trHeight w:val="60" w:hRule="atLeast"/>
        </w:trPr>
        <w:tc>
          <w:tcPr>
            <w:tcW w:w="4607" w:type="dxa"/>
            <w:gridSpan w:val="6"/>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email:info@perspekt174.ru</w:t>
            </w:r>
          </w:p>
        </w:tc>
        <w:tc>
          <w:tcPr>
            <w:tcW w:w="866" w:type="dxa"/>
            <w:shd w:val="clear" w:color="FFFFFF" w:fill="auto"/>
            <w:textDirection w:val="lrTb"/>
            <w:vAlign w:val="bottom"/>
          </w:tcPr>
          <w:p>
            <w:pPr>
              <w:wordWrap w:val="1"/>
              <w:jc w:val="both"/>
              <w:rPr>
                <w:rFonts w:ascii="Times New Roman" w:hAnsi="Times New Roman"/>
                <w:sz w:val="16"/>
                <w:szCs w:val="16"/>
              </w:rPr>
            </w:pPr>
          </w:p>
        </w:tc>
        <w:tc>
          <w:tcPr>
            <w:tcW w:w="5158" w:type="dxa"/>
            <w:gridSpan w:val="6"/>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email:dc449@rambler.ru</w:t>
            </w:r>
          </w:p>
        </w:tc>
      </w:tr>
      <w:tr>
        <w:trPr>
          <w:trHeight w:val="60" w:hRule="atLeast"/>
        </w:trPr>
        <w:tc>
          <w:tcPr>
            <w:tcW w:w="4607" w:type="dxa"/>
            <w:gridSpan w:val="6"/>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тел.: +7(351)7-000-160</w:t>
            </w:r>
          </w:p>
        </w:tc>
        <w:tc>
          <w:tcPr>
            <w:tcW w:w="866" w:type="dxa"/>
            <w:shd w:val="clear" w:color="FFFFFF" w:fill="auto"/>
            <w:textDirection w:val="lrTb"/>
            <w:vAlign w:val="bottom"/>
          </w:tcPr>
          <w:p>
            <w:pPr>
              <w:wordWrap w:val="1"/>
              <w:jc w:val="both"/>
              <w:rPr>
                <w:rFonts w:ascii="Times New Roman" w:hAnsi="Times New Roman"/>
                <w:sz w:val="16"/>
                <w:szCs w:val="16"/>
              </w:rPr>
            </w:pPr>
          </w:p>
        </w:tc>
        <w:tc>
          <w:tcPr>
            <w:tcW w:w="5158" w:type="dxa"/>
            <w:gridSpan w:val="6"/>
            <w:shd w:val="clear" w:color="FFFFFF" w:fill="auto"/>
            <w:textDirection w:val="lrTb"/>
            <w:vAlign w:val="bottom"/>
          </w:tcPr>
          <w:p>
            <w:pPr>
              <w:wordWrap w:val="1"/>
              <w:jc w:val="both"/>
              <w:rPr>
                <w:rFonts w:ascii="Times New Roman" w:hAnsi="Times New Roman"/>
                <w:sz w:val="16"/>
                <w:szCs w:val="16"/>
              </w:rPr>
            </w:pPr>
            <w:r>
              <w:rPr>
                <w:rFonts w:ascii="Times New Roman" w:hAnsi="Times New Roman"/>
                <w:sz w:val="16"/>
                <w:szCs w:val="16"/>
              </w:rPr>
              <w:t>тел.: 351)721-55-98;</w:t>
            </w:r>
          </w:p>
        </w:tc>
      </w:tr>
      <w:tr>
        <w:trPr>
          <w:trHeight w:val="60" w:hRule="atLeast"/>
        </w:trPr>
        <w:tc>
          <w:tcPr>
            <w:tcW w:w="512" w:type="dxa"/>
            <w:shd w:val="clear" w:color="FFFFFF" w:fill="auto"/>
            <w:textDirection w:val="lrTb"/>
            <w:vAlign w:val="bottom"/>
          </w:tcPr>
          <w:p>
            <w:pPr>
              <w:jc w:val="right"/>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735" w:type="dxa"/>
            <w:shd w:val="clear" w:color="FFFFFF" w:fill="auto"/>
            <w:textDirection w:val="lrTb"/>
            <w:vAlign w:val="bottom"/>
          </w:tcPr>
          <w:p>
            <w:pPr>
              <w:rPr>
                <w:rFonts w:ascii="Times New Roman" w:hAnsi="Times New Roman"/>
                <w:sz w:val="16"/>
                <w:szCs w:val="16"/>
              </w:rPr>
            </w:pPr>
          </w:p>
        </w:tc>
        <w:tc>
          <w:tcPr>
            <w:tcW w:w="696" w:type="dxa"/>
            <w:shd w:val="clear" w:color="FFFFFF" w:fill="auto"/>
            <w:textDirection w:val="lrTb"/>
            <w:vAlign w:val="bottom"/>
          </w:tcPr>
          <w:p>
            <w:pPr>
              <w:rPr>
                <w:rFonts w:ascii="Times New Roman" w:hAnsi="Times New Roman"/>
                <w:sz w:val="16"/>
                <w:szCs w:val="16"/>
              </w:rPr>
            </w:pPr>
          </w:p>
        </w:tc>
        <w:tc>
          <w:tcPr>
            <w:tcW w:w="774" w:type="dxa"/>
            <w:shd w:val="clear" w:color="FFFFFF" w:fill="auto"/>
            <w:textDirection w:val="lrTb"/>
            <w:vAlign w:val="bottom"/>
          </w:tcPr>
          <w:p>
            <w:pPr>
              <w:rPr>
                <w:rFonts w:ascii="Times New Roman" w:hAnsi="Times New Roman"/>
                <w:sz w:val="16"/>
                <w:szCs w:val="16"/>
              </w:rPr>
            </w:pPr>
          </w:p>
        </w:tc>
        <w:tc>
          <w:tcPr>
            <w:tcW w:w="866" w:type="dxa"/>
            <w:shd w:val="clear" w:color="FFFFFF" w:fill="auto"/>
            <w:textDirection w:val="lrTb"/>
            <w:vAlign w:val="bottom"/>
          </w:tcPr>
          <w:p>
            <w:pPr>
              <w:jc w:val="left"/>
              <w:rPr>
                <w:rFonts w:ascii="Times New Roman" w:hAnsi="Times New Roman"/>
                <w:sz w:val="16"/>
                <w:szCs w:val="16"/>
              </w:rPr>
            </w:pPr>
          </w:p>
        </w:tc>
        <w:tc>
          <w:tcPr>
            <w:tcW w:w="945" w:type="dxa"/>
            <w:shd w:val="clear" w:color="FFFFFF" w:fill="auto"/>
            <w:textDirection w:val="lrTb"/>
            <w:vAlign w:val="bottom"/>
          </w:tcPr>
          <w:p>
            <w:pPr>
              <w:jc w:val="right"/>
              <w:rPr>
                <w:rFonts w:ascii="Times New Roman" w:hAnsi="Times New Roman"/>
                <w:sz w:val="16"/>
                <w:szCs w:val="16"/>
              </w:rPr>
            </w:pPr>
          </w:p>
        </w:tc>
        <w:tc>
          <w:tcPr>
            <w:tcW w:w="945" w:type="dxa"/>
            <w:shd w:val="clear" w:color="FFFFFF" w:fill="auto"/>
            <w:textDirection w:val="lrTb"/>
            <w:vAlign w:val="bottom"/>
          </w:tcPr>
          <w:p>
            <w:pPr>
              <w:jc w:val="left"/>
              <w:rPr>
                <w:rFonts w:ascii="Times New Roman" w:hAnsi="Times New Roman"/>
                <w:sz w:val="16"/>
                <w:szCs w:val="16"/>
              </w:rPr>
            </w:pPr>
          </w:p>
        </w:tc>
        <w:tc>
          <w:tcPr>
            <w:tcW w:w="945" w:type="dxa"/>
            <w:shd w:val="clear" w:color="FFFFFF" w:fill="auto"/>
            <w:textDirection w:val="lrTb"/>
            <w:vAlign w:val="bottom"/>
          </w:tcPr>
          <w:p>
            <w:pPr>
              <w:jc w:val="left"/>
              <w:rPr>
                <w:rFonts w:ascii="Times New Roman" w:hAnsi="Times New Roman"/>
                <w:sz w:val="16"/>
                <w:szCs w:val="16"/>
              </w:rPr>
            </w:pPr>
          </w:p>
        </w:tc>
        <w:tc>
          <w:tcPr>
            <w:tcW w:w="932" w:type="dxa"/>
            <w:shd w:val="clear" w:color="FFFFFF" w:fill="auto"/>
            <w:textDirection w:val="lrTb"/>
            <w:vAlign w:val="bottom"/>
          </w:tcPr>
          <w:p>
            <w:pPr>
              <w:jc w:val="left"/>
              <w:rPr>
                <w:rFonts w:ascii="Times New Roman" w:hAnsi="Times New Roman"/>
                <w:sz w:val="16"/>
                <w:szCs w:val="16"/>
              </w:rPr>
            </w:pPr>
          </w:p>
        </w:tc>
        <w:tc>
          <w:tcPr>
            <w:tcW w:w="630" w:type="dxa"/>
            <w:shd w:val="clear" w:color="FFFFFF" w:fill="auto"/>
            <w:textDirection w:val="lrTb"/>
            <w:vAlign w:val="bottom"/>
          </w:tcPr>
          <w:p>
            <w:pPr>
              <w:jc w:val="left"/>
              <w:rPr>
                <w:rFonts w:ascii="Times New Roman" w:hAnsi="Times New Roman"/>
                <w:sz w:val="16"/>
                <w:szCs w:val="16"/>
              </w:rPr>
            </w:pPr>
          </w:p>
        </w:tc>
        <w:tc>
          <w:tcPr>
            <w:tcW w:w="761" w:type="dxa"/>
            <w:shd w:val="clear" w:color="FFFFFF" w:fill="auto"/>
            <w:textDirection w:val="lrTb"/>
            <w:vAlign w:val="bottom"/>
          </w:tcPr>
          <w:p>
            <w:pPr>
              <w:jc w:val="left"/>
              <w:rPr>
                <w:rFonts w:ascii="Times New Roman" w:hAnsi="Times New Roman"/>
                <w:sz w:val="16"/>
                <w:szCs w:val="16"/>
              </w:rPr>
            </w:pPr>
          </w:p>
        </w:tc>
      </w:tr>
      <w:tr>
        <w:trPr>
          <w:trHeight w:val="60" w:hRule="atLeast"/>
        </w:trPr>
        <w:tc>
          <w:tcPr>
            <w:tcW w:w="4607" w:type="dxa"/>
            <w:gridSpan w:val="6"/>
            <w:shd w:val="clear" w:color="FFFFFF" w:fill="auto"/>
            <w:textDirection w:val="lrTb"/>
            <w:vAlign w:val="bottom"/>
          </w:tcPr>
          <w:p>
            <w:pPr>
              <w:jc w:val="left"/>
              <w:rPr>
                <w:rFonts w:ascii="Times New Roman" w:hAnsi="Times New Roman"/>
                <w:sz w:val="16"/>
                <w:szCs w:val="16"/>
              </w:rPr>
            </w:pPr>
            <w:r>
              <w:rPr>
                <w:rFonts w:ascii="Times New Roman" w:hAnsi="Times New Roman"/>
                <w:sz w:val="16"/>
                <w:szCs w:val="16"/>
              </w:rPr>
              <w:t>Директор</w:t>
            </w:r>
          </w:p>
        </w:tc>
        <w:tc>
          <w:tcPr>
            <w:tcW w:w="866" w:type="dxa"/>
            <w:shd w:val="clear" w:color="FFFFFF" w:fill="auto"/>
            <w:textDirection w:val="lrTb"/>
            <w:vAlign w:val="bottom"/>
          </w:tcPr>
          <w:p>
            <w:pPr>
              <w:jc w:val="left"/>
              <w:rPr>
                <w:rFonts w:ascii="Times New Roman" w:hAnsi="Times New Roman"/>
                <w:sz w:val="16"/>
                <w:szCs w:val="16"/>
              </w:rPr>
            </w:pPr>
          </w:p>
        </w:tc>
        <w:tc>
          <w:tcPr>
            <w:tcW w:w="5158" w:type="dxa"/>
            <w:gridSpan w:val="6"/>
            <w:shd w:val="clear" w:color="FFFFFF" w:fill="auto"/>
            <w:textDirection w:val="lrTb"/>
            <w:vAlign w:val="bottom"/>
          </w:tcPr>
          <w:p>
            <w:pPr>
              <w:jc w:val="left"/>
              <w:rPr>
                <w:rFonts w:ascii="Times New Roman" w:hAnsi="Times New Roman"/>
                <w:sz w:val="16"/>
                <w:szCs w:val="16"/>
              </w:rPr>
            </w:pPr>
            <w:r>
              <w:rPr>
                <w:rFonts w:ascii="Times New Roman" w:hAnsi="Times New Roman"/>
                <w:sz w:val="16"/>
                <w:szCs w:val="16"/>
              </w:rPr>
              <w:t>Заведующий</w:t>
            </w:r>
          </w:p>
        </w:tc>
      </w:tr>
      <w:tr>
        <w:trPr>
          <w:trHeight w:val="60" w:hRule="atLeast"/>
        </w:trPr>
        <w:tc>
          <w:tcPr>
            <w:tcW w:w="512" w:type="dxa"/>
            <w:shd w:val="clear" w:color="FFFFFF" w:fill="auto"/>
            <w:textDirection w:val="lrTb"/>
            <w:vAlign w:val="bottom"/>
          </w:tcPr>
          <w:p>
            <w:pPr>
              <w:jc w:val="cente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945" w:type="dxa"/>
            <w:shd w:val="clear" w:color="FFFFFF" w:fill="auto"/>
            <w:textDirection w:val="lrTb"/>
            <w:vAlign w:val="bottom"/>
          </w:tcPr>
          <w:p>
            <w:pPr>
              <w:rPr>
                <w:rFonts w:ascii="Times New Roman" w:hAnsi="Times New Roman"/>
                <w:sz w:val="16"/>
                <w:szCs w:val="16"/>
              </w:rPr>
            </w:pPr>
          </w:p>
        </w:tc>
        <w:tc>
          <w:tcPr>
            <w:tcW w:w="735" w:type="dxa"/>
            <w:shd w:val="clear" w:color="FFFFFF" w:fill="auto"/>
            <w:textDirection w:val="lrTb"/>
            <w:vAlign w:val="bottom"/>
          </w:tcPr>
          <w:p>
            <w:pPr>
              <w:rPr>
                <w:rFonts w:ascii="Times New Roman" w:hAnsi="Times New Roman"/>
                <w:sz w:val="16"/>
                <w:szCs w:val="16"/>
              </w:rPr>
            </w:pPr>
          </w:p>
        </w:tc>
        <w:tc>
          <w:tcPr>
            <w:tcW w:w="696" w:type="dxa"/>
            <w:shd w:val="clear" w:color="FFFFFF" w:fill="auto"/>
            <w:textDirection w:val="lrTb"/>
            <w:vAlign w:val="bottom"/>
          </w:tcPr>
          <w:p>
            <w:pPr>
              <w:rPr>
                <w:rFonts w:ascii="Times New Roman" w:hAnsi="Times New Roman"/>
                <w:sz w:val="16"/>
                <w:szCs w:val="16"/>
              </w:rPr>
            </w:pPr>
          </w:p>
        </w:tc>
        <w:tc>
          <w:tcPr>
            <w:tcW w:w="774" w:type="dxa"/>
            <w:shd w:val="clear" w:color="FFFFFF" w:fill="auto"/>
            <w:textDirection w:val="lrTb"/>
            <w:vAlign w:val="bottom"/>
          </w:tcPr>
          <w:p>
            <w:pPr>
              <w:rPr>
                <w:rFonts w:ascii="Times New Roman" w:hAnsi="Times New Roman"/>
                <w:sz w:val="16"/>
                <w:szCs w:val="16"/>
              </w:rPr>
            </w:pPr>
          </w:p>
        </w:tc>
        <w:tc>
          <w:tcPr>
            <w:tcW w:w="866" w:type="dxa"/>
            <w:shd w:val="clear" w:color="FFFFFF" w:fill="auto"/>
            <w:textDirection w:val="lrTb"/>
            <w:vAlign w:val="bottom"/>
          </w:tcPr>
          <w:p>
            <w:pPr>
              <w:jc w:val="left"/>
              <w:rPr>
                <w:rFonts w:ascii="Times New Roman" w:hAnsi="Times New Roman"/>
                <w:sz w:val="16"/>
                <w:szCs w:val="16"/>
              </w:rPr>
            </w:pPr>
          </w:p>
        </w:tc>
        <w:tc>
          <w:tcPr>
            <w:tcW w:w="945" w:type="dxa"/>
            <w:shd w:val="clear" w:color="FFFFFF" w:fill="auto"/>
            <w:textDirection w:val="lrTb"/>
            <w:vAlign w:val="bottom"/>
          </w:tcPr>
          <w:p>
            <w:pPr>
              <w:jc w:val="center"/>
              <w:rPr>
                <w:rFonts w:ascii="Times New Roman" w:hAnsi="Times New Roman"/>
                <w:sz w:val="16"/>
                <w:szCs w:val="16"/>
              </w:rPr>
            </w:pPr>
          </w:p>
        </w:tc>
        <w:tc>
          <w:tcPr>
            <w:tcW w:w="945" w:type="dxa"/>
            <w:shd w:val="clear" w:color="FFFFFF" w:fill="auto"/>
            <w:textDirection w:val="lrTb"/>
            <w:vAlign w:val="bottom"/>
          </w:tcPr>
          <w:p>
            <w:pPr>
              <w:jc w:val="left"/>
              <w:rPr>
                <w:rFonts w:ascii="Times New Roman" w:hAnsi="Times New Roman"/>
                <w:sz w:val="16"/>
                <w:szCs w:val="16"/>
              </w:rPr>
            </w:pPr>
          </w:p>
        </w:tc>
        <w:tc>
          <w:tcPr>
            <w:tcW w:w="945" w:type="dxa"/>
            <w:shd w:val="clear" w:color="FFFFFF" w:fill="auto"/>
            <w:textDirection w:val="lrTb"/>
            <w:vAlign w:val="bottom"/>
          </w:tcPr>
          <w:p>
            <w:pPr>
              <w:jc w:val="left"/>
              <w:rPr>
                <w:rFonts w:ascii="Times New Roman" w:hAnsi="Times New Roman"/>
                <w:sz w:val="16"/>
                <w:szCs w:val="16"/>
              </w:rPr>
            </w:pPr>
          </w:p>
        </w:tc>
        <w:tc>
          <w:tcPr>
            <w:tcW w:w="932" w:type="dxa"/>
            <w:shd w:val="clear" w:color="FFFFFF" w:fill="auto"/>
            <w:textDirection w:val="lrTb"/>
            <w:vAlign w:val="bottom"/>
          </w:tcPr>
          <w:p>
            <w:pPr>
              <w:jc w:val="left"/>
              <w:rPr>
                <w:rFonts w:ascii="Times New Roman" w:hAnsi="Times New Roman"/>
                <w:sz w:val="16"/>
                <w:szCs w:val="16"/>
              </w:rPr>
            </w:pPr>
          </w:p>
        </w:tc>
        <w:tc>
          <w:tcPr>
            <w:tcW w:w="630" w:type="dxa"/>
            <w:shd w:val="clear" w:color="FFFFFF" w:fill="auto"/>
            <w:textDirection w:val="lrTb"/>
            <w:vAlign w:val="bottom"/>
          </w:tcPr>
          <w:p>
            <w:pPr>
              <w:jc w:val="left"/>
              <w:rPr>
                <w:rFonts w:ascii="Times New Roman" w:hAnsi="Times New Roman"/>
                <w:sz w:val="16"/>
                <w:szCs w:val="16"/>
              </w:rPr>
            </w:pPr>
          </w:p>
        </w:tc>
        <w:tc>
          <w:tcPr>
            <w:tcW w:w="761" w:type="dxa"/>
            <w:shd w:val="clear" w:color="FFFFFF" w:fill="auto"/>
            <w:textDirection w:val="lrTb"/>
            <w:vAlign w:val="bottom"/>
          </w:tcPr>
          <w:p>
            <w:pPr>
              <w:jc w:val="left"/>
              <w:rPr>
                <w:rFonts w:ascii="Times New Roman" w:hAnsi="Times New Roman"/>
                <w:sz w:val="16"/>
                <w:szCs w:val="16"/>
              </w:rPr>
            </w:pPr>
          </w:p>
        </w:tc>
      </w:tr>
      <w:tr>
        <w:trPr>
          <w:trHeight w:val="60" w:hRule="atLeast"/>
        </w:trPr>
        <w:tc>
          <w:tcPr>
            <w:tcW w:w="4607" w:type="dxa"/>
            <w:gridSpan w:val="6"/>
            <w:shd w:val="clear" w:color="FFFFFF" w:fill="auto"/>
            <w:textDirection w:val="lrTb"/>
            <w:vAlign w:val="bottom"/>
          </w:tcPr>
          <w:p>
            <w:pPr>
              <w:jc w:val="left"/>
              <w:rPr>
                <w:rFonts w:ascii="Times New Roman" w:hAnsi="Times New Roman"/>
                <w:sz w:val="16"/>
                <w:szCs w:val="16"/>
              </w:rPr>
            </w:pPr>
            <w:r>
              <w:rPr>
                <w:rFonts w:ascii="Times New Roman" w:hAnsi="Times New Roman"/>
                <w:sz w:val="16"/>
                <w:szCs w:val="16"/>
              </w:rPr>
              <w:t>___________________________________ /Козак И.Л./</w:t>
            </w:r>
          </w:p>
        </w:tc>
        <w:tc>
          <w:tcPr>
            <w:tcW w:w="866" w:type="dxa"/>
            <w:shd w:val="clear" w:color="FFFFFF" w:fill="auto"/>
            <w:textDirection w:val="lrTb"/>
            <w:vAlign w:val="bottom"/>
          </w:tcPr>
          <w:p>
            <w:pPr>
              <w:jc w:val="left"/>
              <w:rPr>
                <w:rFonts w:ascii="Times New Roman" w:hAnsi="Times New Roman"/>
                <w:sz w:val="16"/>
                <w:szCs w:val="16"/>
              </w:rPr>
            </w:pPr>
          </w:p>
        </w:tc>
        <w:tc>
          <w:tcPr>
            <w:tcW w:w="5158" w:type="dxa"/>
            <w:gridSpan w:val="6"/>
            <w:shd w:val="clear" w:color="FFFFFF" w:fill="auto"/>
            <w:textDirection w:val="lrTb"/>
            <w:vAlign w:val="bottom"/>
          </w:tcPr>
          <w:p>
            <w:pPr>
              <w:jc w:val="left"/>
              <w:rPr>
                <w:rFonts w:ascii="Times New Roman" w:hAnsi="Times New Roman"/>
                <w:sz w:val="16"/>
                <w:szCs w:val="16"/>
              </w:rPr>
            </w:pPr>
            <w:r>
              <w:rPr>
                <w:rFonts w:ascii="Times New Roman" w:hAnsi="Times New Roman"/>
                <w:sz w:val="16"/>
                <w:szCs w:val="16"/>
              </w:rPr>
              <w:t xml:space="preserve"> _________________________________ /Шумахер Е.В./</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 w:type="table" w:styleId="TableStyle1">
    <w:name w:val="TableStyle1"/>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