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3495"/>
        <w:gridCol w:w="2595"/>
        <w:gridCol w:w="5010"/>
        <w:gridCol w:w="570"/>
        <w:gridCol w:w="525"/>
      </w:tblGrid>
      <w:tr>
        <w:trPr>
          <w:cantSplit/>
          <w:trHeight w:val="0" w:hRule="auto"/>
        </w:trPr>
        <w:tc>
          <w:tcPr>
            <w:tcW w:w="12690" w:type="dxa"/>
            <w:gridSpan w:val="6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495" w:type="dxa"/>
            <w:tcBorders>
              <w:top w:val="single" w:sz="10" w:space="0" w:color="000000"/>
              <w:left w:val="single" w:sz="10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П\П </w:t>
            </w:r>
          </w:p>
        </w:tc>
        <w:tc>
          <w:tcPr>
            <w:tcW w:w="34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color w:val="000000"/>
              </w:rPr>
              <w:t>КТРУ Наименование</w:t>
            </w:r>
          </w:p>
        </w:tc>
        <w:tc>
          <w:tcPr>
            <w:tcW w:w="2595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color w:val="000000"/>
              </w:rPr>
              <w:t>КТРУ Номер</w:t>
            </w:r>
          </w:p>
        </w:tc>
        <w:tc>
          <w:tcPr>
            <w:tcW w:w="501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  <w:color w:val="000000"/>
              </w:rPr>
              <w:t>Характеристики</w:t>
            </w:r>
          </w:p>
        </w:tc>
        <w:tc>
          <w:tcPr>
            <w:tcW w:w="570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Ед. изм.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Кол -во</w:t>
            </w:r>
          </w:p>
        </w:tc>
      </w:tr>
      <w:tr>
        <w:trPr>
          <w:cantSplit/>
          <w:trHeight w:val="0" w:hRule="auto"/>
        </w:trPr>
        <w:tc>
          <w:tcPr>
            <w:tcW w:w="49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Treponema pallidum общие антитела ИВД, набор, иммуноферментный анализ (ИФА)</w:t>
            </w:r>
          </w:p>
        </w:tc>
        <w:tc>
          <w:tcPr>
            <w:tcW w:w="25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21.20.23.110-00009497</w:t>
            </w:r>
          </w:p>
        </w:tc>
        <w:tc>
          <w:tcPr>
            <w:tcW w:w="5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Описание: Набор реагентов и других связанных с ними материалов, предназначенный для качественного и/или количественного определения общих антител к бактерии Treponema pallidum в клиническом образце методом иммуноферментного анализа (ИФА). Анализ предназначен для выявления бактериальной инфекции Treponema pallidum, связанной с сифилисом.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выполняемых тестов, шт.: ≥480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Назначение: Для анализаторов открытого типа и ручной постановки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Метод: «сэндвич»-вариант ИФА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иммунологических стадий при использовании набора: не более 1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Применение: выявление IgM, IgG, IgА к возбудителю сифилиса в сыворотке (плазме) крови и ликворе человека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ТМБ концентрат: наличие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Минимальное время проведения исследования (сумма всех времен инкубации), мин.: не более 85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>
        <w:trPr>
          <w:cantSplit/>
          <w:trHeight w:val="0" w:hRule="auto"/>
        </w:trPr>
        <w:tc>
          <w:tcPr>
            <w:tcW w:w="49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Общий простатический специфический антиген (ПСА) ИВД, набор, иммуноферментный анализ (ИФА)</w:t>
            </w:r>
          </w:p>
        </w:tc>
        <w:tc>
          <w:tcPr>
            <w:tcW w:w="25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21.20.23.110-00007304</w:t>
            </w:r>
          </w:p>
        </w:tc>
        <w:tc>
          <w:tcPr>
            <w:tcW w:w="5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Описание: Набор реагентов и других связанных с ними материалов, предназначенный для качественного и/или количественного определения общего простатического специфического антигена (prostate specific antigen, PSA, ПСА) в клиническом образце с использованием метода иммуноферментного анализа (ИФА).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выполняемых тестов, шт.: ≥96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Назначение: Для ручной постановки и анализаторов открытого типа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Метод: «сэндвич»-вариант ИФА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иммунологических стадий при использовании набора: не более 1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Числовое значение чувствительности, нг/мл: не более 0,1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Измеряемые концентрации, нг/мл: в диапазоне от 0 до не менее 40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Контрольный образец с известным количеством аналита: наличие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Минимальное время проведения исследования (сумма всех времен инкубации), мин.: не более 75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>
        <w:trPr>
          <w:cantSplit/>
          <w:trHeight w:val="0" w:hRule="auto"/>
        </w:trPr>
        <w:tc>
          <w:tcPr>
            <w:tcW w:w="49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Прокальцитонин ИВД, набор, иммуноферментный анализ (ИФА)</w:t>
            </w:r>
          </w:p>
        </w:tc>
        <w:tc>
          <w:tcPr>
            <w:tcW w:w="25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21.20.23.110-00006861</w:t>
            </w:r>
          </w:p>
        </w:tc>
        <w:tc>
          <w:tcPr>
            <w:tcW w:w="5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Описание: Набор реагентов и других связанных с ними материалов, предназначенный для количественного определения прокальцитонина (procalcitonin (PCT)) в клиническом образце методом иммуноферментного анализа (ИФА). Прокальцитонин обычно используется как маркер бактериального сепсиса или тяжелой формы бактериальной инфекции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Метод: «сэндвич»-вариант ИФА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иммунологических стадий при использовании набора: не менее 3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Одинаковое количество промывок после каждой инкубации: наличие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определений, шт.: не менее 96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Формат планшета стрипированный: наличие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>
        <w:trPr>
          <w:cantSplit/>
          <w:trHeight w:val="0" w:hRule="auto"/>
        </w:trPr>
        <w:tc>
          <w:tcPr>
            <w:tcW w:w="49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4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>Прокальцитонин ИВД, набор, иммунохроматографический анализ, экспресс-анализ</w:t>
            </w:r>
          </w:p>
        </w:tc>
        <w:tc>
          <w:tcPr>
            <w:tcW w:w="2595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21.20.23.110-00005868</w:t>
            </w:r>
          </w:p>
        </w:tc>
        <w:tc>
          <w:tcPr>
            <w:tcW w:w="50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Описание: Набор реагентов и других связанных с ними материалов, предназначенный для полуколичественного определения прокальцитонин (procalcitonin, PCT) в клиническом образце, в течение короткого периода, по сравнению со стандартными процедурами лабораторных испытаний, с использованием метода иммунохроматографического анализа. Этот тест обычно используется для лабораторных анализов или исследований по месту лечения.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Количество выполняемых тестов, шт.: ≥ 25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Назначение: Определение прокальцитонина в сыворотке, плазме (с цитратом натрия, Li-гепарином), цельной крови (венозной и капилярной) методом ИХА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Время проведения анализа, мин.: не более 15</w:t>
            </w:r>
          </w:p>
          <w:p>
            <w:pPr>
              <w:spacing w:after="0"/>
              <w:wordWrap w:val="1"/>
              <w:jc w:val="left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70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набор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textDirection w:val="lrTb"/>
            <w:vAlign w:val="top"/>
          </w:tcPr>
          <w:p>
            <w:pPr>
              <w:spacing w:after="0"/>
              <w:wordWrap w:val="1"/>
              <w:jc w:val="center"/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>
        <w:trPr>
          <w:cantSplit/>
          <w:trHeight w:val="0" w:hRule="auto"/>
        </w:trPr>
        <w:tc>
          <w:tcPr>
            <w:tcW w:w="49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9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9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01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70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4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0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  <w:tr>
        <w:trPr>
          <w:cantSplit/>
          <w:trHeight w:val="0" w:hRule="auto"/>
        </w:trPr>
        <w:tc>
          <w:tcPr>
            <w:tcW w:w="4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34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259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01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70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  <w:tc>
          <w:tcPr>
            <w:tcW w:w="525" w:type="dxa"/>
            <w:shd w:val="clear" w:color="auto" w:fill="auto"/>
            <w:textDirection w:val="lrTb"/>
            <w:vAlign w:val="bottom"/>
          </w:tcPr>
          <w:p>
            <w:pPr>
              <w:spacing w:after="0"/>
              <w:jc w:val="left"/>
            </w:pP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normal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