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1F4097" w:rsidRPr="00667D6E">
        <w:rPr>
          <w:b/>
        </w:rPr>
        <w:t xml:space="preserve"> </w:t>
      </w:r>
      <w:r w:rsidR="001F4097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193744802535374480100100120010000000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2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1E0E59" w:rsidRDefault="009267EB" w:rsidP="001E0E59">
      <w:p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sz w:val="22"/>
          <w:szCs w:val="22"/>
        </w:rPr>
        <w:tab/>
      </w:r>
      <w:r w:rsidRPr="001E0E59">
        <w:rPr>
          <w:b/>
          <w:bCs/>
          <w:sz w:val="22"/>
          <w:szCs w:val="22"/>
        </w:rPr>
        <w:t>1. Предмет  договора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A41E83" w:rsidRPr="00A41E83">
        <w:t>4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BA144B">
        <w:rPr>
          <w:b/>
          <w:bCs/>
          <w:sz w:val="22"/>
          <w:szCs w:val="22"/>
          <w:lang w:eastAsia="ar-SA"/>
        </w:rPr>
        <w:t>мяса птицы</w:t>
      </w:r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9267EB" w:rsidRPr="001E0E59" w:rsidRDefault="00AA5C37" w:rsidP="001E0E59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>Остаточный срок годности</w:t>
      </w:r>
      <w:r w:rsidR="00600E67" w:rsidRPr="001E0E59">
        <w:rPr>
          <w:sz w:val="22"/>
          <w:szCs w:val="22"/>
          <w:lang w:eastAsia="ar-SA"/>
        </w:rPr>
        <w:t xml:space="preserve"> поставляемого Товара </w:t>
      </w:r>
      <w:r w:rsidR="009267EB" w:rsidRPr="001E0E59">
        <w:rPr>
          <w:sz w:val="22"/>
          <w:szCs w:val="22"/>
          <w:lang w:eastAsia="ar-SA"/>
        </w:rPr>
        <w:t>должен быть не менее 28 часов на момент поставки товара.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>с 0</w:t>
      </w:r>
      <w:r w:rsidR="001F4097" w:rsidRPr="001F4097">
        <w:rPr>
          <w:color w:val="000000"/>
        </w:rPr>
        <w:t>1</w:t>
      </w:r>
      <w:r w:rsidR="003F4759" w:rsidRPr="003F4759">
        <w:rPr>
          <w:color w:val="000000"/>
        </w:rPr>
        <w:t>.0</w:t>
      </w:r>
      <w:r w:rsidR="001F4097" w:rsidRPr="001F4097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1F4097" w:rsidRPr="001F4097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1F4097" w:rsidRPr="001F4097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E0E59">
        <w:rPr>
          <w:sz w:val="22"/>
          <w:szCs w:val="22"/>
        </w:rPr>
        <w:t>дств св</w:t>
      </w:r>
      <w:proofErr w:type="gramEnd"/>
      <w:r w:rsidRPr="001E0E59">
        <w:rPr>
          <w:sz w:val="22"/>
          <w:szCs w:val="22"/>
        </w:rPr>
        <w:t>язи.</w:t>
      </w:r>
    </w:p>
    <w:p w:rsidR="00BA144B" w:rsidRPr="00BA144B" w:rsidRDefault="00BA144B" w:rsidP="00BA144B">
      <w:pPr>
        <w:pStyle w:val="11"/>
        <w:tabs>
          <w:tab w:val="left" w:pos="0"/>
        </w:tabs>
        <w:ind w:firstLine="709"/>
        <w:rPr>
          <w:rFonts w:ascii="Times New Roman" w:hAnsi="Times New Roman"/>
          <w:sz w:val="22"/>
        </w:rPr>
      </w:pPr>
      <w:r w:rsidRPr="00BA144B">
        <w:rPr>
          <w:rFonts w:ascii="Times New Roman" w:hAnsi="Times New Roman"/>
          <w:sz w:val="22"/>
        </w:rPr>
        <w:t xml:space="preserve">2.7. Поставить продукцию в упаковке, препятствующей ее порче.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 (ГОСТ </w:t>
      </w:r>
      <w:proofErr w:type="gramStart"/>
      <w:r w:rsidRPr="00BA144B">
        <w:rPr>
          <w:rFonts w:ascii="Times New Roman" w:hAnsi="Times New Roman"/>
          <w:sz w:val="22"/>
        </w:rPr>
        <w:t>Р</w:t>
      </w:r>
      <w:proofErr w:type="gramEnd"/>
      <w:r w:rsidRPr="00BA144B">
        <w:rPr>
          <w:rFonts w:ascii="Times New Roman" w:hAnsi="Times New Roman"/>
          <w:sz w:val="22"/>
        </w:rPr>
        <w:t xml:space="preserve"> 51074-2003). 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BA144B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9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E0E59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10</w:t>
      </w:r>
      <w:r w:rsidR="00381EBD" w:rsidRPr="001E0E59">
        <w:rPr>
          <w:sz w:val="22"/>
          <w:szCs w:val="22"/>
          <w:lang w:eastAsia="ar-SA"/>
        </w:rPr>
        <w:t>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DC605C" w:rsidRPr="001E0E59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BA144B">
        <w:rPr>
          <w:b/>
          <w:bCs/>
          <w:sz w:val="22"/>
          <w:szCs w:val="22"/>
          <w:lang w:eastAsia="ar-SA"/>
        </w:rPr>
        <w:t xml:space="preserve"> 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>товарно-</w:t>
      </w:r>
      <w:r w:rsidRPr="001E0E59">
        <w:rPr>
          <w:sz w:val="22"/>
          <w:szCs w:val="22"/>
        </w:rPr>
        <w:lastRenderedPageBreak/>
        <w:t xml:space="preserve">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808BD" w:rsidRDefault="006808BD" w:rsidP="006808BD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 xml:space="preserve">Источником финансирования по настоящему договору является </w:t>
      </w:r>
      <w:r w:rsidR="001B1BC1">
        <w:rPr>
          <w:sz w:val="22"/>
          <w:szCs w:val="22"/>
        </w:rPr>
        <w:t>местный</w:t>
      </w:r>
      <w:r w:rsidR="00D83768">
        <w:rPr>
          <w:sz w:val="22"/>
          <w:szCs w:val="22"/>
        </w:rPr>
        <w:t xml:space="preserve"> бюджет, средства бюджетного учреждения.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402B0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Pr="001E0E59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населения»;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lastRenderedPageBreak/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отчетным..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A4C0F" w:rsidRPr="00974547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933080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 w:rsidRPr="00933080">
        <w:rPr>
          <w:rFonts w:eastAsia="Calibri"/>
          <w:sz w:val="22"/>
          <w:szCs w:val="22"/>
          <w:lang w:eastAsia="en-US"/>
        </w:rPr>
        <w:t>Покупател</w:t>
      </w:r>
      <w:r w:rsidR="009C5274" w:rsidRPr="00933080">
        <w:rPr>
          <w:rFonts w:eastAsia="Calibri"/>
          <w:sz w:val="22"/>
          <w:szCs w:val="22"/>
          <w:lang w:eastAsia="en-US"/>
        </w:rPr>
        <w:t>е</w:t>
      </w:r>
      <w:r w:rsidRPr="00933080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D83768">
        <w:rPr>
          <w:rFonts w:eastAsia="Calibri"/>
          <w:sz w:val="22"/>
          <w:szCs w:val="22"/>
          <w:lang w:eastAsia="en-US"/>
        </w:rPr>
        <w:t xml:space="preserve">ключевой </w:t>
      </w:r>
      <w:hyperlink r:id="rId9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не уплаченной в срок суммы.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</w:t>
      </w:r>
      <w:r w:rsidRPr="00933080">
        <w:rPr>
          <w:sz w:val="22"/>
          <w:szCs w:val="22"/>
          <w:lang w:eastAsia="ar-SA"/>
        </w:rPr>
        <w:lastRenderedPageBreak/>
        <w:t xml:space="preserve">исполнения Поставщиком обязательств, предусмотренных Договором, </w:t>
      </w:r>
      <w:r w:rsidR="009109FB" w:rsidRPr="00933080">
        <w:rPr>
          <w:sz w:val="22"/>
          <w:szCs w:val="22"/>
          <w:lang w:eastAsia="ar-SA"/>
        </w:rPr>
        <w:t>Покупатель</w:t>
      </w:r>
      <w:r w:rsidRPr="00933080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D83768">
        <w:rPr>
          <w:rFonts w:eastAsia="Calibri"/>
          <w:sz w:val="22"/>
          <w:szCs w:val="22"/>
          <w:lang w:eastAsia="en-US"/>
        </w:rPr>
        <w:t xml:space="preserve">ключевой </w:t>
      </w:r>
      <w:hyperlink r:id="rId10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 (этапа) в случае, если цена договора (этапа) не превышает 3 млн. рублей)</w:t>
      </w:r>
      <w:r w:rsidRPr="00A26646">
        <w:rPr>
          <w:sz w:val="22"/>
          <w:szCs w:val="22"/>
          <w:lang w:eastAsia="ar-SA"/>
        </w:rPr>
        <w:t>;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A26646" w:rsidRPr="00A26646" w:rsidRDefault="00A26646" w:rsidP="00933080">
      <w:pPr>
        <w:tabs>
          <w:tab w:val="left" w:pos="1134"/>
        </w:tabs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в) </w:t>
      </w:r>
      <w:r w:rsidRPr="00A26646">
        <w:rPr>
          <w:rFonts w:eastAsia="Calibri"/>
          <w:sz w:val="22"/>
          <w:szCs w:val="22"/>
          <w:lang w:eastAsia="en-US"/>
        </w:rPr>
        <w:t>За каждый факт неисполнения или ненадлежащего исполнения Поставщиком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 _____ рублей ____ копеек (10% начальной (максимальной) цены Договора, если начальная (максимальная) цена Договора не превышает 3 млн. рублей).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A26646"/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933080" w:rsidRDefault="009267EB" w:rsidP="00933080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933080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9267EB" w:rsidRPr="001E0E59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933080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974547" w:rsidRDefault="009267EB" w:rsidP="00933080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267EB" w:rsidRPr="001E0E59" w:rsidRDefault="009267EB" w:rsidP="00933080">
      <w:pPr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</w:t>
      </w:r>
      <w:r w:rsidR="00933080">
        <w:rPr>
          <w:sz w:val="22"/>
          <w:szCs w:val="22"/>
        </w:rPr>
        <w:t>7</w:t>
      </w:r>
      <w:r w:rsidRPr="001E0E59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 xml:space="preserve"> </w:t>
      </w:r>
      <w:r w:rsidR="009267EB" w:rsidRPr="00933080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933080">
        <w:rPr>
          <w:sz w:val="22"/>
          <w:szCs w:val="22"/>
          <w:lang w:eastAsia="ar-SA"/>
        </w:rPr>
        <w:t xml:space="preserve">по </w:t>
      </w:r>
      <w:r w:rsidR="009267EB" w:rsidRPr="00933080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09FB" w:rsidRPr="00933080">
        <w:rPr>
          <w:sz w:val="22"/>
          <w:szCs w:val="22"/>
        </w:rPr>
        <w:t>Покупатель</w:t>
      </w:r>
      <w:r w:rsidR="009267EB" w:rsidRPr="00933080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933080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933080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933080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 w:rsidRPr="00933080">
        <w:rPr>
          <w:rFonts w:eastAsia="Calibri"/>
          <w:sz w:val="22"/>
          <w:szCs w:val="22"/>
        </w:rPr>
        <w:t>контрактной</w:t>
      </w:r>
      <w:r w:rsidR="009267EB" w:rsidRPr="00933080">
        <w:rPr>
          <w:rFonts w:eastAsia="Calibri"/>
          <w:sz w:val="22"/>
          <w:szCs w:val="22"/>
        </w:rPr>
        <w:t xml:space="preserve"> системе в сфере</w:t>
      </w:r>
      <w:r w:rsidR="009267EB" w:rsidRPr="00933080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</w:p>
    <w:bookmarkEnd w:id="6"/>
    <w:bookmarkEnd w:id="7"/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был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33080">
      <w:pPr>
        <w:pStyle w:val="a8"/>
        <w:widowControl w:val="0"/>
        <w:numPr>
          <w:ilvl w:val="0"/>
          <w:numId w:val="18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720"/>
          <w:tab w:val="left" w:pos="851"/>
          <w:tab w:val="left" w:pos="1276"/>
        </w:tabs>
        <w:suppressAutoHyphens/>
        <w:ind w:left="0" w:firstLine="709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933080">
        <w:rPr>
          <w:sz w:val="22"/>
          <w:szCs w:val="22"/>
          <w:lang w:eastAsia="ar-SA"/>
        </w:rPr>
        <w:t xml:space="preserve"> </w:t>
      </w:r>
      <w:r w:rsidR="008F1EE4" w:rsidRPr="00933080">
        <w:rPr>
          <w:sz w:val="22"/>
          <w:szCs w:val="22"/>
          <w:lang w:eastAsia="ar-SA"/>
        </w:rPr>
        <w:t>31.0</w:t>
      </w:r>
      <w:r w:rsidR="00667D6E" w:rsidRPr="00667D6E">
        <w:rPr>
          <w:sz w:val="22"/>
          <w:szCs w:val="22"/>
          <w:lang w:eastAsia="ar-SA"/>
        </w:rPr>
        <w:t>8</w:t>
      </w:r>
      <w:bookmarkStart w:id="8" w:name="_GoBack"/>
      <w:bookmarkEnd w:id="8"/>
      <w:r w:rsidR="0030118A" w:rsidRPr="00933080">
        <w:rPr>
          <w:sz w:val="22"/>
          <w:szCs w:val="22"/>
          <w:lang w:eastAsia="ar-SA"/>
        </w:rPr>
        <w:t>.2019</w:t>
      </w:r>
      <w:r w:rsidR="00A8596E" w:rsidRPr="00933080">
        <w:rPr>
          <w:sz w:val="22"/>
          <w:szCs w:val="22"/>
          <w:lang w:eastAsia="ar-SA"/>
        </w:rPr>
        <w:t>г.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1276"/>
        </w:tabs>
        <w:ind w:left="0" w:firstLine="709"/>
        <w:rPr>
          <w:b/>
          <w:bCs/>
          <w:sz w:val="22"/>
          <w:szCs w:val="22"/>
        </w:rPr>
      </w:pPr>
      <w:r w:rsidRPr="00933080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rPr>
          <w:sz w:val="22"/>
          <w:szCs w:val="22"/>
        </w:rPr>
      </w:pPr>
      <w:bookmarkStart w:id="9" w:name="OLE_LINK37"/>
      <w:bookmarkStart w:id="10" w:name="OLE_LINK38"/>
      <w:r w:rsidRPr="00933080">
        <w:rPr>
          <w:sz w:val="22"/>
          <w:szCs w:val="22"/>
        </w:rPr>
        <w:t xml:space="preserve">Все приложения </w:t>
      </w:r>
      <w:r w:rsidR="002D013E" w:rsidRPr="00933080">
        <w:rPr>
          <w:sz w:val="22"/>
          <w:szCs w:val="22"/>
        </w:rPr>
        <w:t xml:space="preserve">к Договору </w:t>
      </w:r>
      <w:r w:rsidRPr="00933080">
        <w:rPr>
          <w:sz w:val="22"/>
          <w:szCs w:val="22"/>
        </w:rPr>
        <w:t xml:space="preserve">являются неотъемлемой частью настоящего </w:t>
      </w:r>
      <w:bookmarkEnd w:id="9"/>
      <w:bookmarkEnd w:id="10"/>
      <w:r w:rsidRPr="00933080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33080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</w:t>
      </w:r>
      <w:r w:rsidR="009267EB" w:rsidRPr="001E0E59">
        <w:rPr>
          <w:b/>
          <w:sz w:val="22"/>
          <w:szCs w:val="22"/>
          <w:lang w:eastAsia="ar-SA"/>
        </w:rPr>
        <w:t>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Pr="00A8596E" w:rsidRDefault="009267EB" w:rsidP="001E0E59">
      <w:pPr>
        <w:keepNext/>
        <w:spacing w:after="200"/>
        <w:ind w:left="1004"/>
        <w:contextualSpacing/>
        <w:jc w:val="center"/>
        <w:outlineLvl w:val="0"/>
        <w:rPr>
          <w:kern w:val="32"/>
          <w:sz w:val="22"/>
          <w:szCs w:val="22"/>
        </w:rPr>
      </w:pPr>
      <w:r w:rsidRPr="00A8596E">
        <w:rPr>
          <w:sz w:val="22"/>
          <w:szCs w:val="22"/>
        </w:rPr>
        <w:t xml:space="preserve">Спецификация 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7"/>
        <w:gridCol w:w="1274"/>
        <w:gridCol w:w="1274"/>
        <w:gridCol w:w="6246"/>
        <w:gridCol w:w="709"/>
        <w:gridCol w:w="94"/>
        <w:gridCol w:w="708"/>
        <w:gridCol w:w="991"/>
        <w:gridCol w:w="1274"/>
        <w:gridCol w:w="2036"/>
      </w:tblGrid>
      <w:tr w:rsidR="00933080" w:rsidTr="001F4097">
        <w:trPr>
          <w:gridAfter w:val="1"/>
          <w:wAfter w:w="2036" w:type="dxa"/>
          <w:trHeight w:val="14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Наименова</w:t>
            </w:r>
            <w:proofErr w:type="spellEnd"/>
          </w:p>
          <w:p w:rsidR="00933080" w:rsidRDefault="009330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Фасовка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Остаточный срок годности продукции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продукции (характеристика)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за 1 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33080" w:rsidTr="001F4097">
        <w:trPr>
          <w:gridAfter w:val="1"/>
          <w:wAfter w:w="2036" w:type="dxa"/>
          <w:trHeight w:val="167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птицы охлажденной</w:t>
            </w:r>
          </w:p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 картонная</w:t>
            </w:r>
          </w:p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кг</w:t>
            </w:r>
          </w:p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менее 80%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цыплят в возрасте 60 суток, живая  масса 1,6 кг.</w:t>
            </w:r>
          </w:p>
          <w:p w:rsidR="00933080" w:rsidRDefault="00933080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тушки удалены все внутренние органы, голова по второй шейный позвонок, ноги по </w:t>
            </w:r>
            <w:proofErr w:type="spellStart"/>
            <w:r>
              <w:rPr>
                <w:sz w:val="18"/>
                <w:szCs w:val="18"/>
              </w:rPr>
              <w:t>заплюсневый</w:t>
            </w:r>
            <w:proofErr w:type="spellEnd"/>
            <w:r>
              <w:rPr>
                <w:sz w:val="18"/>
                <w:szCs w:val="18"/>
              </w:rPr>
              <w:t xml:space="preserve"> сустав и шея без кожи. У тушек  1 категории упитанности  мышечная ткань хорошо развита, форма грудки округлая, киль грудной кости не выделяется, отложение подкожного жира только в области нижней части живота.</w:t>
            </w:r>
          </w:p>
          <w:p w:rsidR="00933080" w:rsidRDefault="00933080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термическому состоянию </w:t>
            </w:r>
            <w:proofErr w:type="gramStart"/>
            <w:r>
              <w:rPr>
                <w:sz w:val="18"/>
                <w:szCs w:val="18"/>
              </w:rPr>
              <w:t>охлажденные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Pr="001F4097" w:rsidRDefault="001F409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</w:tr>
      <w:tr w:rsidR="00933080" w:rsidTr="001F4097">
        <w:trPr>
          <w:gridAfter w:val="1"/>
          <w:wAfter w:w="2036" w:type="dxa"/>
          <w:trHeight w:val="36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0" w:rsidRDefault="00933080">
            <w:pPr>
              <w:pStyle w:val="a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0" w:rsidRDefault="00933080">
            <w:pPr>
              <w:jc w:val="center"/>
              <w:rPr>
                <w:sz w:val="18"/>
                <w:szCs w:val="18"/>
              </w:rPr>
            </w:pPr>
          </w:p>
        </w:tc>
      </w:tr>
      <w:tr w:rsidR="00933080" w:rsidRPr="00F072B2" w:rsidTr="001F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843" w:type="dxa"/>
          <w:cantSplit/>
        </w:trPr>
        <w:tc>
          <w:tcPr>
            <w:tcW w:w="9640" w:type="dxa"/>
            <w:gridSpan w:val="5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933080" w:rsidRPr="000011E4" w:rsidRDefault="00933080" w:rsidP="001F4097">
            <w:pPr>
              <w:ind w:right="5317"/>
            </w:pPr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933080" w:rsidRPr="000011E4" w:rsidRDefault="00933080" w:rsidP="000B5A69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933080" w:rsidRPr="000011E4" w:rsidRDefault="00933080" w:rsidP="000B5A69">
            <w:r w:rsidRPr="000011E4">
              <w:t xml:space="preserve">тел: 2837609; 7374543 </w:t>
            </w:r>
          </w:p>
          <w:p w:rsidR="00933080" w:rsidRPr="000011E4" w:rsidRDefault="00933080" w:rsidP="000B5A69">
            <w:r w:rsidRPr="000011E4">
              <w:t>ИНН 7448025353 / КПП 744801001</w:t>
            </w:r>
          </w:p>
          <w:p w:rsidR="00933080" w:rsidRPr="000011E4" w:rsidRDefault="00933080" w:rsidP="000B5A69">
            <w:r w:rsidRPr="000011E4">
              <w:t>ОГРН 1027402543420</w:t>
            </w:r>
          </w:p>
          <w:p w:rsidR="00933080" w:rsidRPr="000011E4" w:rsidRDefault="00933080" w:rsidP="000B5A69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933080" w:rsidRPr="000011E4" w:rsidTr="000B5A69">
              <w:tc>
                <w:tcPr>
                  <w:tcW w:w="4454" w:type="dxa"/>
                </w:tcPr>
                <w:p w:rsidR="00933080" w:rsidRPr="000011E4" w:rsidRDefault="00933080" w:rsidP="000B5A69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  <w:gridSpan w:val="5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F4097" w:rsidRDefault="001F4097" w:rsidP="001E0E59">
      <w:pPr>
        <w:spacing w:after="200"/>
        <w:contextualSpacing/>
        <w:jc w:val="right"/>
        <w:rPr>
          <w:sz w:val="22"/>
          <w:szCs w:val="22"/>
          <w:lang w:val="en-US"/>
        </w:rPr>
      </w:pPr>
    </w:p>
    <w:p w:rsidR="001F4097" w:rsidRDefault="001F4097" w:rsidP="001E0E59">
      <w:pPr>
        <w:spacing w:after="200"/>
        <w:contextualSpacing/>
        <w:jc w:val="right"/>
        <w:rPr>
          <w:sz w:val="22"/>
          <w:szCs w:val="22"/>
          <w:lang w:val="en-US"/>
        </w:rPr>
      </w:pPr>
    </w:p>
    <w:p w:rsidR="001F4097" w:rsidRDefault="001F4097" w:rsidP="001E0E59">
      <w:pPr>
        <w:spacing w:after="200"/>
        <w:contextualSpacing/>
        <w:jc w:val="right"/>
        <w:rPr>
          <w:sz w:val="22"/>
          <w:szCs w:val="22"/>
          <w:lang w:val="en-US"/>
        </w:rPr>
      </w:pPr>
    </w:p>
    <w:p w:rsidR="001F4097" w:rsidRDefault="001F4097" w:rsidP="001E0E59">
      <w:pPr>
        <w:spacing w:after="200"/>
        <w:contextualSpacing/>
        <w:jc w:val="right"/>
        <w:rPr>
          <w:sz w:val="22"/>
          <w:szCs w:val="22"/>
          <w:lang w:val="en-US"/>
        </w:rPr>
      </w:pPr>
    </w:p>
    <w:p w:rsidR="001F4097" w:rsidRDefault="001F4097" w:rsidP="001E0E59">
      <w:pPr>
        <w:spacing w:after="200"/>
        <w:contextualSpacing/>
        <w:jc w:val="right"/>
        <w:rPr>
          <w:sz w:val="22"/>
          <w:szCs w:val="22"/>
          <w:lang w:val="en-US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lastRenderedPageBreak/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4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89"/>
        <w:gridCol w:w="1840"/>
        <w:gridCol w:w="4665"/>
        <w:gridCol w:w="3556"/>
      </w:tblGrid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530D8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proofErr w:type="gramStart"/>
            <w:r w:rsidR="00530D88">
              <w:rPr>
                <w:rFonts w:eastAsia="Calibri"/>
              </w:rPr>
              <w:t>кг</w:t>
            </w:r>
            <w:proofErr w:type="gramEnd"/>
          </w:p>
        </w:tc>
      </w:tr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2D013E" w:rsidTr="00D90C61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80" w:rsidRDefault="00933080" w:rsidP="00933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птицы охлажденной</w:t>
            </w:r>
          </w:p>
          <w:p w:rsidR="002D013E" w:rsidRDefault="002D013E" w:rsidP="00D90C61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E" w:rsidRDefault="00530D88" w:rsidP="00D90C6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E" w:rsidRDefault="00933080" w:rsidP="003F475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E" w:rsidRPr="00A44E4B" w:rsidRDefault="009A2D3D" w:rsidP="008816D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1-2</w:t>
            </w:r>
            <w:r w:rsidR="002D013E"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="002D013E" w:rsidRPr="00A44E4B">
              <w:rPr>
                <w:lang w:eastAsia="en-US"/>
              </w:rPr>
              <w:t xml:space="preserve"> в неделю  </w:t>
            </w:r>
            <w:r w:rsidR="008816DE">
              <w:rPr>
                <w:lang w:eastAsia="en-US"/>
              </w:rPr>
              <w:t>в течение дня</w:t>
            </w:r>
            <w:r w:rsidR="002D013E" w:rsidRPr="00A44E4B">
              <w:rPr>
                <w:lang w:eastAsia="en-US"/>
              </w:rPr>
              <w:t xml:space="preserve">, кроме субботы и воскресенья, согласно предварительной заявке (за 1 рабочий день до поставки) </w:t>
            </w:r>
            <w:r w:rsidR="00CD55DE">
              <w:rPr>
                <w:lang w:eastAsia="en-US"/>
              </w:rPr>
              <w:t>Покупателя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E" w:rsidRPr="00110053" w:rsidRDefault="00110053" w:rsidP="00C635D1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</w:tbl>
    <w:p w:rsidR="009267EB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072B2" w:rsidRPr="00A8596E" w:rsidTr="00F072B2">
        <w:trPr>
          <w:cantSplit/>
        </w:trPr>
        <w:tc>
          <w:tcPr>
            <w:tcW w:w="5245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667D6E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667D6E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667D6E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30" w:rsidRDefault="00C12930" w:rsidP="00A6328A">
      <w:r>
        <w:separator/>
      </w:r>
    </w:p>
  </w:endnote>
  <w:endnote w:type="continuationSeparator" w:id="0">
    <w:p w:rsidR="00C12930" w:rsidRDefault="00C12930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667D6E">
      <w:rPr>
        <w:noProof/>
      </w:rPr>
      <w:t>6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7D6E">
      <w:rPr>
        <w:rStyle w:val="a3"/>
        <w:noProof/>
      </w:rPr>
      <w:t>8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30" w:rsidRDefault="00C12930" w:rsidP="00A6328A">
      <w:r>
        <w:separator/>
      </w:r>
    </w:p>
  </w:footnote>
  <w:footnote w:type="continuationSeparator" w:id="0">
    <w:p w:rsidR="00C12930" w:rsidRDefault="00C12930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146F8D"/>
    <w:multiLevelType w:val="multilevel"/>
    <w:tmpl w:val="A94EB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FB8019D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9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2715FD"/>
    <w:multiLevelType w:val="multilevel"/>
    <w:tmpl w:val="6D802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04"/>
    <w:rsid w:val="00002464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D2E45"/>
    <w:rsid w:val="000E0CAC"/>
    <w:rsid w:val="000E6EB5"/>
    <w:rsid w:val="0010205D"/>
    <w:rsid w:val="0010421D"/>
    <w:rsid w:val="00106FBA"/>
    <w:rsid w:val="00110053"/>
    <w:rsid w:val="00110AD3"/>
    <w:rsid w:val="00111634"/>
    <w:rsid w:val="001126FD"/>
    <w:rsid w:val="00114867"/>
    <w:rsid w:val="001261EB"/>
    <w:rsid w:val="00132DB9"/>
    <w:rsid w:val="00133FC8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1BC1"/>
    <w:rsid w:val="001B51FE"/>
    <w:rsid w:val="001C28EB"/>
    <w:rsid w:val="001C402D"/>
    <w:rsid w:val="001D205D"/>
    <w:rsid w:val="001D60D6"/>
    <w:rsid w:val="001E0E59"/>
    <w:rsid w:val="001F4097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816"/>
    <w:rsid w:val="002A63D4"/>
    <w:rsid w:val="002C0724"/>
    <w:rsid w:val="002C229F"/>
    <w:rsid w:val="002D013E"/>
    <w:rsid w:val="002D5809"/>
    <w:rsid w:val="002E0954"/>
    <w:rsid w:val="002F2E17"/>
    <w:rsid w:val="002F4DE2"/>
    <w:rsid w:val="0030118A"/>
    <w:rsid w:val="003050FE"/>
    <w:rsid w:val="00306843"/>
    <w:rsid w:val="003204A9"/>
    <w:rsid w:val="0032200C"/>
    <w:rsid w:val="00330620"/>
    <w:rsid w:val="00351368"/>
    <w:rsid w:val="00357ED8"/>
    <w:rsid w:val="0036028B"/>
    <w:rsid w:val="00364135"/>
    <w:rsid w:val="00364FA5"/>
    <w:rsid w:val="00367218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E0709"/>
    <w:rsid w:val="003E406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51071"/>
    <w:rsid w:val="00454988"/>
    <w:rsid w:val="00470388"/>
    <w:rsid w:val="004746F9"/>
    <w:rsid w:val="00474BAF"/>
    <w:rsid w:val="00480FBA"/>
    <w:rsid w:val="00481D8C"/>
    <w:rsid w:val="004841A0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D0284"/>
    <w:rsid w:val="004E2856"/>
    <w:rsid w:val="004E48E0"/>
    <w:rsid w:val="00502C20"/>
    <w:rsid w:val="0050775F"/>
    <w:rsid w:val="00510F57"/>
    <w:rsid w:val="00523C04"/>
    <w:rsid w:val="00524EEF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07866"/>
    <w:rsid w:val="00614B56"/>
    <w:rsid w:val="006205DF"/>
    <w:rsid w:val="006214AD"/>
    <w:rsid w:val="00636A48"/>
    <w:rsid w:val="006402B0"/>
    <w:rsid w:val="006506DD"/>
    <w:rsid w:val="00660E82"/>
    <w:rsid w:val="00667170"/>
    <w:rsid w:val="00667D6E"/>
    <w:rsid w:val="00672222"/>
    <w:rsid w:val="0067325F"/>
    <w:rsid w:val="00673EF5"/>
    <w:rsid w:val="00677269"/>
    <w:rsid w:val="006808BD"/>
    <w:rsid w:val="00691C37"/>
    <w:rsid w:val="006922CD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70868"/>
    <w:rsid w:val="00772B44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2192"/>
    <w:rsid w:val="0081544F"/>
    <w:rsid w:val="00823414"/>
    <w:rsid w:val="0082776D"/>
    <w:rsid w:val="00837762"/>
    <w:rsid w:val="0084281E"/>
    <w:rsid w:val="00845100"/>
    <w:rsid w:val="008500F0"/>
    <w:rsid w:val="00851AE0"/>
    <w:rsid w:val="0085506A"/>
    <w:rsid w:val="00855480"/>
    <w:rsid w:val="0086038C"/>
    <w:rsid w:val="00865759"/>
    <w:rsid w:val="008806AB"/>
    <w:rsid w:val="008816DE"/>
    <w:rsid w:val="0089777F"/>
    <w:rsid w:val="008A532B"/>
    <w:rsid w:val="008A5B7D"/>
    <w:rsid w:val="008B6A86"/>
    <w:rsid w:val="008B6EA6"/>
    <w:rsid w:val="008C1DD8"/>
    <w:rsid w:val="008C4952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5751"/>
    <w:rsid w:val="009267EB"/>
    <w:rsid w:val="009305C0"/>
    <w:rsid w:val="00933080"/>
    <w:rsid w:val="00941A9A"/>
    <w:rsid w:val="00945C88"/>
    <w:rsid w:val="00947C51"/>
    <w:rsid w:val="0095211F"/>
    <w:rsid w:val="00960B1E"/>
    <w:rsid w:val="00963657"/>
    <w:rsid w:val="0096452D"/>
    <w:rsid w:val="00970875"/>
    <w:rsid w:val="00973FD0"/>
    <w:rsid w:val="00974547"/>
    <w:rsid w:val="0097696B"/>
    <w:rsid w:val="009900AA"/>
    <w:rsid w:val="00990296"/>
    <w:rsid w:val="00990C51"/>
    <w:rsid w:val="00996081"/>
    <w:rsid w:val="009A2D3D"/>
    <w:rsid w:val="009A3EBB"/>
    <w:rsid w:val="009A4C0F"/>
    <w:rsid w:val="009C0039"/>
    <w:rsid w:val="009C5274"/>
    <w:rsid w:val="009D0B48"/>
    <w:rsid w:val="009D0CA9"/>
    <w:rsid w:val="009D3281"/>
    <w:rsid w:val="009E275A"/>
    <w:rsid w:val="009E5769"/>
    <w:rsid w:val="009E6908"/>
    <w:rsid w:val="009E6D24"/>
    <w:rsid w:val="009F275F"/>
    <w:rsid w:val="009F512C"/>
    <w:rsid w:val="009F7584"/>
    <w:rsid w:val="00A26646"/>
    <w:rsid w:val="00A30434"/>
    <w:rsid w:val="00A30FE8"/>
    <w:rsid w:val="00A33E8C"/>
    <w:rsid w:val="00A3405C"/>
    <w:rsid w:val="00A356C0"/>
    <w:rsid w:val="00A40146"/>
    <w:rsid w:val="00A41E83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70B0"/>
    <w:rsid w:val="00AB7314"/>
    <w:rsid w:val="00AC3D28"/>
    <w:rsid w:val="00AD3D85"/>
    <w:rsid w:val="00AD7AD1"/>
    <w:rsid w:val="00AE0686"/>
    <w:rsid w:val="00AF493D"/>
    <w:rsid w:val="00B13336"/>
    <w:rsid w:val="00B15B72"/>
    <w:rsid w:val="00B17FEE"/>
    <w:rsid w:val="00B20F2E"/>
    <w:rsid w:val="00B2710A"/>
    <w:rsid w:val="00B27A26"/>
    <w:rsid w:val="00B30944"/>
    <w:rsid w:val="00B314F5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9582C"/>
    <w:rsid w:val="00BA144B"/>
    <w:rsid w:val="00BA4786"/>
    <w:rsid w:val="00BA5C36"/>
    <w:rsid w:val="00BB380D"/>
    <w:rsid w:val="00BB4856"/>
    <w:rsid w:val="00BC6A64"/>
    <w:rsid w:val="00BD35D0"/>
    <w:rsid w:val="00BD5AD2"/>
    <w:rsid w:val="00BE0673"/>
    <w:rsid w:val="00BE33E9"/>
    <w:rsid w:val="00BE3C61"/>
    <w:rsid w:val="00C12930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70039"/>
    <w:rsid w:val="00C734F0"/>
    <w:rsid w:val="00C7538D"/>
    <w:rsid w:val="00C767EC"/>
    <w:rsid w:val="00C81616"/>
    <w:rsid w:val="00C91960"/>
    <w:rsid w:val="00C9779C"/>
    <w:rsid w:val="00CA6992"/>
    <w:rsid w:val="00CB0404"/>
    <w:rsid w:val="00CB4D54"/>
    <w:rsid w:val="00CD55DE"/>
    <w:rsid w:val="00CE0362"/>
    <w:rsid w:val="00CE4CDF"/>
    <w:rsid w:val="00CE64A9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3768"/>
    <w:rsid w:val="00D87F95"/>
    <w:rsid w:val="00D90C61"/>
    <w:rsid w:val="00D93933"/>
    <w:rsid w:val="00D93D8C"/>
    <w:rsid w:val="00DA2A42"/>
    <w:rsid w:val="00DA7222"/>
    <w:rsid w:val="00DB76BA"/>
    <w:rsid w:val="00DC43B2"/>
    <w:rsid w:val="00DC47D8"/>
    <w:rsid w:val="00DC605C"/>
    <w:rsid w:val="00DD1906"/>
    <w:rsid w:val="00DD4D5A"/>
    <w:rsid w:val="00DE6276"/>
    <w:rsid w:val="00DE6BFC"/>
    <w:rsid w:val="00DF04A5"/>
    <w:rsid w:val="00DF4A12"/>
    <w:rsid w:val="00E05133"/>
    <w:rsid w:val="00E1219D"/>
    <w:rsid w:val="00E3540B"/>
    <w:rsid w:val="00E375CF"/>
    <w:rsid w:val="00E37A65"/>
    <w:rsid w:val="00E45EF8"/>
    <w:rsid w:val="00E55588"/>
    <w:rsid w:val="00E70984"/>
    <w:rsid w:val="00E71666"/>
    <w:rsid w:val="00E85E58"/>
    <w:rsid w:val="00E868FD"/>
    <w:rsid w:val="00E87BB5"/>
    <w:rsid w:val="00EA1A48"/>
    <w:rsid w:val="00EA2D41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630FD"/>
    <w:rsid w:val="00F644C7"/>
    <w:rsid w:val="00F65CB2"/>
    <w:rsid w:val="00F75B09"/>
    <w:rsid w:val="00F8681C"/>
    <w:rsid w:val="00F87F53"/>
    <w:rsid w:val="00FA6D71"/>
    <w:rsid w:val="00FB5ACC"/>
    <w:rsid w:val="00FC2487"/>
    <w:rsid w:val="00FC52FB"/>
    <w:rsid w:val="00FD1E25"/>
    <w:rsid w:val="00FD2655"/>
    <w:rsid w:val="00FE3D20"/>
    <w:rsid w:val="00FE6CAC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6EED-C88A-4AF5-B935-0C649F5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8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14</cp:revision>
  <cp:lastPrinted>2015-05-21T07:09:00Z</cp:lastPrinted>
  <dcterms:created xsi:type="dcterms:W3CDTF">2015-05-21T12:38:00Z</dcterms:created>
  <dcterms:modified xsi:type="dcterms:W3CDTF">2019-03-20T08:56:00Z</dcterms:modified>
</cp:coreProperties>
</file>